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000000" w:themeColor="text1"/>
          <w:w w:val="97"/>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7"/>
          <w:sz w:val="44"/>
          <w:szCs w:val="44"/>
          <w14:textFill>
            <w14:solidFill>
              <w14:schemeClr w14:val="tx1"/>
            </w14:solidFill>
          </w14:textFill>
        </w:rPr>
        <w:t>海南省按病种分值付费（DIP）结算</w:t>
      </w:r>
      <w:r>
        <w:rPr>
          <w:rFonts w:hint="eastAsia" w:ascii="方正小标宋简体" w:hAnsi="方正小标宋简体" w:eastAsia="方正小标宋简体" w:cs="方正小标宋简体"/>
          <w:color w:val="000000" w:themeColor="text1"/>
          <w:w w:val="97"/>
          <w:sz w:val="44"/>
          <w:szCs w:val="44"/>
          <w:lang w:eastAsia="zh-CN"/>
          <w14:textFill>
            <w14:solidFill>
              <w14:schemeClr w14:val="tx1"/>
            </w14:solidFill>
          </w14:textFill>
        </w:rPr>
        <w:t>暂行</w:t>
      </w:r>
      <w:r>
        <w:rPr>
          <w:rFonts w:hint="eastAsia" w:ascii="方正小标宋简体" w:hAnsi="方正小标宋简体" w:eastAsia="方正小标宋简体" w:cs="方正小标宋简体"/>
          <w:color w:val="000000" w:themeColor="text1"/>
          <w:w w:val="97"/>
          <w:sz w:val="44"/>
          <w:szCs w:val="44"/>
          <w14:textFill>
            <w14:solidFill>
              <w14:schemeClr w14:val="tx1"/>
            </w14:solidFill>
          </w14:textFill>
        </w:rPr>
        <w:t>办法</w:t>
      </w:r>
    </w:p>
    <w:p>
      <w:pPr>
        <w:pStyle w:val="13"/>
        <w:spacing w:after="0" w:line="560" w:lineRule="exact"/>
        <w:ind w:left="0" w:leftChars="0" w:firstLine="0" w:firstLineChars="0"/>
        <w:jc w:val="center"/>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总  则</w:t>
      </w:r>
    </w:p>
    <w:p>
      <w:pPr>
        <w:spacing w:line="560" w:lineRule="exact"/>
        <w:jc w:val="left"/>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贯彻落实中央和省委关于深化医疗保障制度改革精神，进一步深化医保支付方式改革，提高医疗服务透明度，提升医保基金使用效率，根据《国家医疗保障局办公室关于印发按病组和病种分值付费2.0版分组方案并深入推进相关工作的通知》（医保办发〔2024〕9号）《医疗保障按病种付费管理暂行办法》（医保发〔2025〕18号）《国家医疗保障按病种分值付费（DIP）技术规范》等文件有关规定，结合我省实际，制定本办法。</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本结算办法适用于全省开展按病种分值付费（DIP）的定点医疗机构。医保</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经办机构对定点医疗机构符合DIP分组规则和条件的住院医疗费用应由基本医保统筹基金、职工大额医疗补助和城乡居民大病保险支付部分按DIP规则结算。</w:t>
      </w:r>
    </w:p>
    <w:p>
      <w:pPr>
        <w:widowControl w:val="0"/>
        <w:numPr>
          <w:ilvl w:val="0"/>
          <w:numId w:val="2"/>
        </w:num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纳入DIP付费的住院类型包括普通住院、生育住院、符合卫健部门日间手术操作编码的日间手术、日间病床病种、精神类急性期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经办机构与定点医疗机构在区域总额预算下，按照总额控制、月度预拨付、年度清算的方式进行医保费用结算。逐步建立总额预算与月度预拨付、DIP月度预结算相结合的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月度</w:t>
      </w:r>
      <w:r>
        <w:rPr>
          <w:rFonts w:hint="eastAsia" w:ascii="仿宋_GB2312" w:hAnsi="仿宋_GB2312" w:eastAsia="仿宋_GB2312" w:cs="仿宋_GB2312"/>
          <w:color w:val="000000" w:themeColor="text1"/>
          <w:sz w:val="32"/>
          <w:szCs w:val="32"/>
          <w14:textFill>
            <w14:solidFill>
              <w14:schemeClr w14:val="tx1"/>
            </w14:solidFill>
          </w14:textFill>
        </w:rPr>
        <w:t>费用结算，推进季度清算。</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参保人员在定点医疗机构发生的合规住院医疗费用，按照现行医保待遇政策报销，不受本结算办法的影响。</w:t>
      </w:r>
    </w:p>
    <w:p>
      <w:pPr>
        <w:widowControl w:val="0"/>
        <w:numPr>
          <w:ilvl w:val="255"/>
          <w:numId w:val="0"/>
        </w:num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预算管理</w:t>
      </w:r>
    </w:p>
    <w:p>
      <w:pPr>
        <w:pStyle w:val="6"/>
        <w:spacing w:line="560" w:lineRule="exact"/>
        <w:ind w:firstLine="640"/>
        <w:rPr>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根据以收定支、收支平衡、略有结余的原则，合理编制年度基金支出预算，支出预算调整保持在一定合理范围内，确保医保基金可持续。探索编制全省统筹的年度基金支出预算方法。</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在基金支出预算的基础上，充分考虑当地经济社会发展水平、医保基金运行情况、人民健康需求等因素，合理确定按DIP付费医保基金支出预算。</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严格收支预算执行。特殊情况需调整按病种付费总额的，可根据基金实际收入、就医人数变化、待遇政策调整、重大公共卫生事件等因素，按规定程序执行，要确保医保基金使用效益，维护医疗机构和参保人员合法权益。</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设立</w:t>
      </w:r>
      <w:r>
        <w:rPr>
          <w:rFonts w:hint="eastAsia" w:ascii="仿宋_GB2312" w:hAnsi="仿宋_GB2312" w:eastAsia="仿宋_GB2312" w:cs="仿宋_GB2312"/>
          <w:color w:val="000000" w:themeColor="text1"/>
          <w:spacing w:val="7"/>
          <w:w w:val="95"/>
          <w:sz w:val="32"/>
          <w:szCs w:val="32"/>
          <w14:textFill>
            <w14:solidFill>
              <w14:schemeClr w14:val="tx1"/>
            </w14:solidFill>
          </w14:textFill>
        </w:rPr>
        <w:t>DIP付费区域调节金</w:t>
      </w:r>
      <w:r>
        <w:rPr>
          <w:rFonts w:hint="eastAsia" w:ascii="仿宋_GB2312" w:hAnsi="仿宋_GB2312" w:eastAsia="仿宋_GB2312" w:cs="仿宋_GB2312"/>
          <w:color w:val="000000" w:themeColor="text1"/>
          <w:sz w:val="32"/>
          <w:szCs w:val="32"/>
          <w14:textFill>
            <w14:solidFill>
              <w14:schemeClr w14:val="tx1"/>
            </w14:solidFill>
          </w14:textFill>
        </w:rPr>
        <w:t>（简称“区域调节金”），</w:t>
      </w:r>
      <w:r>
        <w:rPr>
          <w:rFonts w:hint="eastAsia" w:ascii="仿宋_GB2312" w:hAnsi="仿宋_GB2312" w:eastAsia="仿宋_GB2312" w:cs="仿宋_GB2312"/>
          <w:color w:val="000000" w:themeColor="text1"/>
          <w:spacing w:val="7"/>
          <w:w w:val="95"/>
          <w:sz w:val="32"/>
          <w:szCs w:val="32"/>
          <w14:textFill>
            <w14:solidFill>
              <w14:schemeClr w14:val="tx1"/>
            </w14:solidFill>
          </w14:textFill>
        </w:rPr>
        <w:t>主要用于年度合理超支分担。区域调节金金额为</w:t>
      </w:r>
      <w:r>
        <w:rPr>
          <w:rFonts w:hint="eastAsia" w:ascii="仿宋_GB2312" w:hAnsi="仿宋_GB2312" w:eastAsia="仿宋_GB2312" w:cs="仿宋_GB2312"/>
          <w:sz w:val="32"/>
          <w:szCs w:val="36"/>
        </w:rPr>
        <w:t>按照年度</w:t>
      </w:r>
      <w:r>
        <w:rPr>
          <w:rFonts w:ascii="仿宋_GB2312" w:hAnsi="仿宋_GB2312" w:eastAsia="仿宋_GB2312" w:cs="仿宋_GB2312"/>
          <w:sz w:val="32"/>
          <w:szCs w:val="36"/>
        </w:rPr>
        <w:t>住院</w:t>
      </w:r>
      <w:r>
        <w:rPr>
          <w:rFonts w:hint="eastAsia" w:ascii="仿宋_GB2312" w:hAnsi="仿宋_GB2312" w:eastAsia="仿宋_GB2312" w:cs="仿宋_GB2312"/>
          <w:sz w:val="32"/>
          <w:szCs w:val="36"/>
        </w:rPr>
        <w:t>医保</w:t>
      </w:r>
      <w:r>
        <w:rPr>
          <w:rFonts w:ascii="仿宋_GB2312" w:hAnsi="仿宋_GB2312" w:eastAsia="仿宋_GB2312" w:cs="仿宋_GB2312"/>
          <w:sz w:val="32"/>
          <w:szCs w:val="36"/>
        </w:rPr>
        <w:t>基金预算</w:t>
      </w:r>
      <w:r>
        <w:rPr>
          <w:rFonts w:hint="eastAsia" w:ascii="仿宋_GB2312" w:hAnsi="仿宋_GB2312" w:eastAsia="仿宋_GB2312" w:cs="仿宋_GB2312"/>
          <w:sz w:val="32"/>
          <w:szCs w:val="36"/>
        </w:rPr>
        <w:t>的1.5%列支</w:t>
      </w:r>
      <w:r>
        <w:rPr>
          <w:rFonts w:hint="eastAsia" w:ascii="仿宋_GB2312" w:hAnsi="仿宋_GB2312" w:eastAsia="仿宋_GB2312" w:cs="仿宋_GB2312"/>
          <w:color w:val="000000" w:themeColor="text1"/>
          <w:spacing w:val="7"/>
          <w:w w:val="95"/>
          <w:sz w:val="32"/>
          <w:szCs w:val="32"/>
          <w14:textFill>
            <w14:solidFill>
              <w14:schemeClr w14:val="tx1"/>
            </w14:solidFill>
          </w14:textFill>
        </w:rPr>
        <w:t>。</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年度按DIP付费医保基金支出预算使用按增长率预测和按支出项目分配两种方法测算，取两种方法测算出的较低金额作为年度按DIP付费医保基金支出预算。</w:t>
      </w:r>
    </w:p>
    <w:p>
      <w:pPr>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按增长率预测法。结合年度收入及预算使用情况、参保人群变动、待遇政策调整、参保人员就医需求及物价水平变动等因素设置增长率（增长率可能为负值），确定本年度按DIP付费医保基金支出预算，计算公式为：</w:t>
      </w:r>
    </w:p>
    <w:p>
      <w:pPr>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年度按DIP付费医保基金支出预算=上一年度按DIP付费医保基金支出金额×（1+增长率）</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2.按支出项目分配法。以年度住院医保基金预算总额为基础，扣除跨省异地就医住院医保基金支出预算、年度未纳入DIP付费的住院基金支出预算、区域调节金，确定年度按DIP付费医保基金支出预算，计算公式为：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年度按DIP付费医保基金支出预算=年度住院医保基金支出预算总额-跨省异地就医住院医保基金支出预算-年度未纳入DIP付费住院医保基金支出预算-区域调节金 </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各季度按DIP付费医保基金支出预算根据各地年度按DIP付费医保基金支出预算、上一年度同季度按DIP付费医保基金记账金额占上一年度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w:t>
      </w:r>
      <w:r>
        <w:rPr>
          <w:rFonts w:hint="eastAsia" w:ascii="仿宋_GB2312" w:hAnsi="仿宋_GB2312" w:eastAsia="仿宋_GB2312" w:cs="仿宋_GB2312"/>
          <w:color w:val="000000" w:themeColor="text1"/>
          <w:sz w:val="32"/>
          <w:szCs w:val="32"/>
          <w14:textFill>
            <w14:solidFill>
              <w14:schemeClr w14:val="tx1"/>
            </w14:solidFill>
          </w14:textFill>
        </w:rPr>
        <w:t>按DIP付费医保基金记账金额比例确定，计算公式为：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季度按DIP付费医保基金支出预算=年度按DIP付费医保基金支出预算×（上一年度同季度按DIP付费医保基金记账金额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上一年度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w:t>
      </w:r>
      <w:r>
        <w:rPr>
          <w:rFonts w:hint="eastAsia" w:ascii="仿宋_GB2312" w:hAnsi="仿宋_GB2312" w:eastAsia="仿宋_GB2312" w:cs="仿宋_GB2312"/>
          <w:color w:val="000000" w:themeColor="text1"/>
          <w:sz w:val="32"/>
          <w:szCs w:val="32"/>
          <w14:textFill>
            <w14:solidFill>
              <w14:schemeClr w14:val="tx1"/>
            </w14:solidFill>
          </w14:textFill>
        </w:rPr>
        <w:t>按DIP付费医保基金记账金额）</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按DIP付费医保基金根据就医地点分为本地就医DIP医保基金支出预算和省内跨市县就医DIP医保基金支出预算，预算金额根据实际记账金额占比确定，计算公式为：</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本地就医按DIP付费医保基金支出预算=（本地就医按DIP付费病例医保基金实际记账金额÷按DIP付费病例医保基金实际记账金额）×按DIP付费医保基金支出预算</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省内跨市县就医按DIP付费医保基金支出预算=（省内跨市县就医按DIP付费病例医保基金实际记账金额÷按DIP付费病例医保基金实际记账金额）×按DIP付费医保基金支出预算</w:t>
      </w:r>
    </w:p>
    <w:p>
      <w:pPr>
        <w:widowControl w:val="0"/>
        <w:numPr>
          <w:ilvl w:val="255"/>
          <w:numId w:val="0"/>
        </w:num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病种管理</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省级医保部门根据医保管理要求和医疗服务实际需要，收集汇总医疗机构反映的意见建议，以医保结算真实数据为基础，通过临床论证和数据验证，征求相关部门意见后，在DIP病种成组规则与国家一致的前提下，按照国家制定的技术规范，形成全省DIP病种库；全省执行统一的DIP病种库。</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DIP病种库包括核心病种和综合病种。通过设置病例数临界值区分核心病种与综合病种，病例数达到临界值以上的病种组合归入核心病种，作为DIP结算的主要付费单元。全省病例数临界值基于国家技术规范，结合当地实际情况确定为15例。</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按照国家规范，根据诊断、治疗、行为规范等特异性特征建立辅助目录。将满足辅助目录分型条件的核心病种，按照疾病严重程度分型、肿瘤严重程度分型、年龄特征病种等因素分型，设置辅助目录。 </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建立病种分组和分值动态调整机制，根据客观数据、意见建议、临床特征规律、政策调整变化等因素，进行定期调整。原则上每两年调整一次病种分组，每一年调整一次病种分值，必要情况下，可适时调整。</w:t>
      </w:r>
    </w:p>
    <w:p>
      <w:pPr>
        <w:widowControl w:val="0"/>
        <w:numPr>
          <w:ilvl w:val="255"/>
          <w:numId w:val="0"/>
        </w:num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病种分值</w:t>
      </w:r>
    </w:p>
    <w:p>
      <w:pPr>
        <w:widowControl w:val="0"/>
        <w:numPr>
          <w:ilvl w:val="255"/>
          <w:numId w:val="0"/>
        </w:num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设置全省基准病种</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全省</w:t>
      </w:r>
      <w:r>
        <w:rPr>
          <w:rFonts w:ascii="仿宋_GB2312" w:hAnsi="仿宋_GB2312" w:eastAsia="仿宋_GB2312" w:cs="仿宋_GB2312"/>
          <w:color w:val="000000" w:themeColor="text1"/>
          <w:sz w:val="32"/>
          <w:szCs w:val="36"/>
          <w14:textFill>
            <w14:solidFill>
              <w14:schemeClr w14:val="tx1"/>
            </w14:solidFill>
          </w14:textFill>
        </w:rPr>
        <w:t>基准病种为</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其他和未特指的急性阑尾炎&amp;主要手术包含腹腔镜下阑尾切除术</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基准病种</w:t>
      </w:r>
      <w:r>
        <w:rPr>
          <w:rFonts w:hint="eastAsia" w:ascii="仿宋_GB2312" w:hAnsi="仿宋_GB2312" w:eastAsia="仿宋_GB2312" w:cs="仿宋_GB2312"/>
          <w:color w:val="000000" w:themeColor="text1"/>
          <w:sz w:val="32"/>
          <w:szCs w:val="36"/>
          <w14:textFill>
            <w14:solidFill>
              <w14:schemeClr w14:val="tx1"/>
            </w14:solidFill>
          </w14:textFill>
        </w:rPr>
        <w:t>的分值</w:t>
      </w:r>
      <w:r>
        <w:rPr>
          <w:rFonts w:ascii="仿宋_GB2312" w:hAnsi="仿宋_GB2312" w:eastAsia="仿宋_GB2312" w:cs="仿宋_GB2312"/>
          <w:color w:val="000000" w:themeColor="text1"/>
          <w:sz w:val="32"/>
          <w:szCs w:val="36"/>
          <w14:textFill>
            <w14:solidFill>
              <w14:schemeClr w14:val="tx1"/>
            </w14:solidFill>
          </w14:textFill>
        </w:rPr>
        <w:t>为1000分。</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核心与综合病种分值</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基于历史数据，测算核心与综合病种分值，计算公式为：</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核心</w:t>
      </w:r>
      <w:r>
        <w:rPr>
          <w:rFonts w:hint="eastAsia" w:ascii="仿宋_GB2312" w:hAnsi="仿宋_GB2312" w:eastAsia="仿宋_GB2312" w:cs="仿宋_GB2312"/>
          <w:color w:val="000000" w:themeColor="text1"/>
          <w:sz w:val="32"/>
          <w:szCs w:val="36"/>
          <w14:textFill>
            <w14:solidFill>
              <w14:schemeClr w14:val="tx1"/>
            </w14:solidFill>
          </w14:textFill>
        </w:rPr>
        <w:t>与</w:t>
      </w:r>
      <w:r>
        <w:rPr>
          <w:rFonts w:ascii="仿宋_GB2312" w:hAnsi="仿宋_GB2312" w:eastAsia="仿宋_GB2312" w:cs="仿宋_GB2312"/>
          <w:color w:val="000000" w:themeColor="text1"/>
          <w:sz w:val="32"/>
          <w:szCs w:val="36"/>
          <w14:textFill>
            <w14:solidFill>
              <w14:schemeClr w14:val="tx1"/>
            </w14:solidFill>
          </w14:textFill>
        </w:rPr>
        <w:t>综合病种分值=</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近三年各病种平均医疗费用÷近三年</w:t>
      </w:r>
      <w:r>
        <w:rPr>
          <w:rFonts w:hint="eastAsia" w:ascii="仿宋_GB2312" w:hAnsi="仿宋_GB2312" w:eastAsia="仿宋_GB2312" w:cs="仿宋_GB2312"/>
          <w:color w:val="000000" w:themeColor="text1"/>
          <w:sz w:val="32"/>
          <w:szCs w:val="36"/>
          <w14:textFill>
            <w14:solidFill>
              <w14:schemeClr w14:val="tx1"/>
            </w14:solidFill>
          </w14:textFill>
        </w:rPr>
        <w:t>基准病种</w:t>
      </w:r>
      <w:r>
        <w:rPr>
          <w:rFonts w:ascii="仿宋_GB2312" w:hAnsi="仿宋_GB2312" w:eastAsia="仿宋_GB2312" w:cs="仿宋_GB2312"/>
          <w:color w:val="000000" w:themeColor="text1"/>
          <w:sz w:val="32"/>
          <w:szCs w:val="36"/>
          <w14:textFill>
            <w14:solidFill>
              <w14:schemeClr w14:val="tx1"/>
            </w14:solidFill>
          </w14:textFill>
        </w:rPr>
        <w:t>平均</w:t>
      </w:r>
      <w:r>
        <w:rPr>
          <w:rFonts w:hint="eastAsia" w:ascii="仿宋_GB2312" w:hAnsi="仿宋_GB2312" w:eastAsia="仿宋_GB2312" w:cs="仿宋_GB2312"/>
          <w:color w:val="000000" w:themeColor="text1"/>
          <w:sz w:val="32"/>
          <w:szCs w:val="36"/>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费用</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×1000</w:t>
      </w:r>
    </w:p>
    <w:p>
      <w:p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各病种平均医疗费用和</w:t>
      </w:r>
      <w:r>
        <w:rPr>
          <w:rFonts w:hint="eastAsia" w:ascii="仿宋_GB2312" w:hAnsi="仿宋_GB2312" w:eastAsia="仿宋_GB2312" w:cs="仿宋_GB2312"/>
          <w:color w:val="000000" w:themeColor="text1"/>
          <w:sz w:val="32"/>
          <w:szCs w:val="36"/>
          <w14:textFill>
            <w14:solidFill>
              <w14:schemeClr w14:val="tx1"/>
            </w14:solidFill>
          </w14:textFill>
        </w:rPr>
        <w:t>基准病种</w:t>
      </w:r>
      <w:r>
        <w:rPr>
          <w:rFonts w:ascii="仿宋_GB2312" w:hAnsi="仿宋_GB2312" w:eastAsia="仿宋_GB2312" w:cs="仿宋_GB2312"/>
          <w:color w:val="000000" w:themeColor="text1"/>
          <w:sz w:val="32"/>
          <w:szCs w:val="36"/>
          <w14:textFill>
            <w14:solidFill>
              <w14:schemeClr w14:val="tx1"/>
            </w14:solidFill>
          </w14:textFill>
        </w:rPr>
        <w:t>平均住院费用以近3年的历史数据按1:2:7加权的形式计算均值</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平均医疗费用剔除公立医院特需服务超限额部分、国谈药（</w:t>
      </w:r>
      <w:r>
        <w:rPr>
          <w:rFonts w:hint="eastAsia" w:ascii="仿宋_GB2312" w:hAnsi="仿宋_GB2312" w:eastAsia="仿宋_GB2312" w:cs="仿宋_GB2312"/>
          <w:color w:val="000000" w:themeColor="text1"/>
          <w:sz w:val="32"/>
          <w:szCs w:val="32"/>
          <w14:textFill>
            <w14:solidFill>
              <w14:schemeClr w14:val="tx1"/>
            </w14:solidFill>
          </w14:textFill>
        </w:rPr>
        <w:t>含当年度转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类收费的药品</w:t>
      </w:r>
      <w:r>
        <w:rPr>
          <w:rFonts w:ascii="仿宋_GB2312" w:hAnsi="仿宋_GB2312" w:eastAsia="仿宋_GB2312" w:cs="仿宋_GB2312"/>
          <w:color w:val="000000" w:themeColor="text1"/>
          <w:sz w:val="32"/>
          <w:szCs w:val="36"/>
          <w14:textFill>
            <w14:solidFill>
              <w14:schemeClr w14:val="tx1"/>
            </w14:solidFill>
          </w14:textFill>
        </w:rPr>
        <w:t>）、乐城特许药械</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自费单列目录费用。</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费用偏差病例分值</w:t>
      </w:r>
    </w:p>
    <w:p>
      <w:pPr>
        <w:widowControl w:val="0"/>
        <w:numPr>
          <w:ilvl w:val="255"/>
          <w:numId w:val="0"/>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病例医疗</w:t>
      </w:r>
      <w:r>
        <w:rPr>
          <w:rFonts w:hint="eastAsia" w:ascii="仿宋_GB2312" w:hAnsi="仿宋_GB2312" w:eastAsia="仿宋_GB2312" w:cs="仿宋_GB2312"/>
          <w:color w:val="000000" w:themeColor="text1"/>
          <w:sz w:val="32"/>
          <w:szCs w:val="36"/>
          <w14:textFill>
            <w14:solidFill>
              <w14:schemeClr w14:val="tx1"/>
            </w14:solidFill>
          </w14:textFill>
        </w:rPr>
        <w:t>总</w:t>
      </w:r>
      <w:r>
        <w:rPr>
          <w:rFonts w:ascii="仿宋_GB2312" w:hAnsi="仿宋_GB2312" w:eastAsia="仿宋_GB2312" w:cs="仿宋_GB2312"/>
          <w:color w:val="000000" w:themeColor="text1"/>
          <w:sz w:val="32"/>
          <w:szCs w:val="36"/>
          <w14:textFill>
            <w14:solidFill>
              <w14:schemeClr w14:val="tx1"/>
            </w14:solidFill>
          </w14:textFill>
        </w:rPr>
        <w:t>费用与该病种同级别定点医疗机构标准医疗费用相比，低于0.5倍或高于2 倍时</w:t>
      </w:r>
      <w:r>
        <w:rPr>
          <w:rFonts w:hint="eastAsia" w:ascii="仿宋_GB2312" w:hAnsi="仿宋_GB2312" w:eastAsia="仿宋_GB2312" w:cs="仿宋_GB2312"/>
          <w:color w:val="000000" w:themeColor="text1"/>
          <w:sz w:val="32"/>
          <w:szCs w:val="36"/>
          <w14:textFill>
            <w14:solidFill>
              <w14:schemeClr w14:val="tx1"/>
            </w14:solidFill>
          </w14:textFill>
        </w:rPr>
        <w:t>，视为</w:t>
      </w:r>
      <w:r>
        <w:rPr>
          <w:rFonts w:ascii="仿宋_GB2312" w:hAnsi="仿宋_GB2312" w:eastAsia="仿宋_GB2312" w:cs="仿宋_GB2312"/>
          <w:color w:val="000000" w:themeColor="text1"/>
          <w:sz w:val="32"/>
          <w:szCs w:val="36"/>
          <w14:textFill>
            <w14:solidFill>
              <w14:schemeClr w14:val="tx1"/>
            </w14:solidFill>
          </w14:textFill>
        </w:rPr>
        <w:t>费用偏差病例。</w:t>
      </w:r>
    </w:p>
    <w:p>
      <w:pPr>
        <w:numPr>
          <w:ilvl w:val="255"/>
          <w:numId w:val="0"/>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1.</w:t>
      </w:r>
      <w:r>
        <w:rPr>
          <w:rFonts w:ascii="仿宋_GB2312" w:hAnsi="仿宋_GB2312" w:eastAsia="仿宋_GB2312" w:cs="仿宋_GB2312"/>
          <w:color w:val="000000" w:themeColor="text1"/>
          <w:sz w:val="32"/>
          <w:szCs w:val="36"/>
          <w14:textFill>
            <w14:solidFill>
              <w14:schemeClr w14:val="tx1"/>
            </w14:solidFill>
          </w14:textFill>
        </w:rPr>
        <w:t>病种标准医疗费用=病种分值×预算点值×辅助目录</w:t>
      </w:r>
      <w:r>
        <w:rPr>
          <w:rFonts w:hint="eastAsia" w:ascii="仿宋_GB2312" w:hAnsi="仿宋_GB2312" w:eastAsia="仿宋_GB2312" w:cs="仿宋_GB2312"/>
          <w:color w:val="000000" w:themeColor="text1"/>
          <w:sz w:val="32"/>
          <w:szCs w:val="36"/>
          <w14:textFill>
            <w14:solidFill>
              <w14:schemeClr w14:val="tx1"/>
            </w14:solidFill>
          </w14:textFill>
        </w:rPr>
        <w:t>调节</w:t>
      </w:r>
      <w:r>
        <w:rPr>
          <w:rFonts w:ascii="仿宋_GB2312" w:hAnsi="仿宋_GB2312" w:eastAsia="仿宋_GB2312" w:cs="仿宋_GB2312"/>
          <w:color w:val="000000" w:themeColor="text1"/>
          <w:sz w:val="32"/>
          <w:szCs w:val="36"/>
          <w14:textFill>
            <w14:solidFill>
              <w14:schemeClr w14:val="tx1"/>
            </w14:solidFill>
          </w14:textFill>
        </w:rPr>
        <w:t>系数×</w:t>
      </w:r>
      <w:r>
        <w:rPr>
          <w:rFonts w:hint="eastAsia" w:ascii="仿宋_GB2312" w:hAnsi="仿宋_GB2312" w:eastAsia="仿宋_GB2312" w:cs="仿宋_GB2312"/>
          <w:color w:val="000000" w:themeColor="text1"/>
          <w:sz w:val="32"/>
          <w:szCs w:val="36"/>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机构等级系数</w:t>
      </w:r>
    </w:p>
    <w:p>
      <w:p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2.</w:t>
      </w:r>
      <w:r>
        <w:rPr>
          <w:rFonts w:ascii="仿宋_GB2312" w:hAnsi="仿宋_GB2312" w:eastAsia="仿宋_GB2312" w:cs="仿宋_GB2312"/>
          <w:color w:val="000000" w:themeColor="text1"/>
          <w:sz w:val="32"/>
          <w:szCs w:val="36"/>
          <w14:textFill>
            <w14:solidFill>
              <w14:schemeClr w14:val="tx1"/>
            </w14:solidFill>
          </w14:textFill>
        </w:rPr>
        <w:t>将费用低于病种标准医疗费用0.5倍的病例作为费用超低病例。</w:t>
      </w:r>
    </w:p>
    <w:p>
      <w:p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费用超低病例分值=该病例医疗费用÷病种标准医疗费用×该病种分值×辅助目录</w:t>
      </w:r>
      <w:r>
        <w:rPr>
          <w:rFonts w:hint="eastAsia" w:ascii="仿宋_GB2312" w:hAnsi="仿宋_GB2312" w:eastAsia="仿宋_GB2312" w:cs="仿宋_GB2312"/>
          <w:color w:val="000000" w:themeColor="text1"/>
          <w:sz w:val="32"/>
          <w:szCs w:val="36"/>
          <w14:textFill>
            <w14:solidFill>
              <w14:schemeClr w14:val="tx1"/>
            </w14:solidFill>
          </w14:textFill>
        </w:rPr>
        <w:t>调节</w:t>
      </w:r>
      <w:r>
        <w:rPr>
          <w:rFonts w:ascii="仿宋_GB2312" w:hAnsi="仿宋_GB2312" w:eastAsia="仿宋_GB2312" w:cs="仿宋_GB2312"/>
          <w:color w:val="000000" w:themeColor="text1"/>
          <w:sz w:val="32"/>
          <w:szCs w:val="36"/>
          <w14:textFill>
            <w14:solidFill>
              <w14:schemeClr w14:val="tx1"/>
            </w14:solidFill>
          </w14:textFill>
        </w:rPr>
        <w:t>系数×</w:t>
      </w:r>
      <w:r>
        <w:rPr>
          <w:rFonts w:hint="eastAsia" w:ascii="仿宋_GB2312" w:hAnsi="仿宋_GB2312" w:eastAsia="仿宋_GB2312" w:cs="仿宋_GB2312"/>
          <w:color w:val="000000" w:themeColor="text1"/>
          <w:sz w:val="32"/>
          <w:szCs w:val="36"/>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机构等级系数</w:t>
      </w:r>
    </w:p>
    <w:p>
      <w:p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3.</w:t>
      </w:r>
      <w:r>
        <w:rPr>
          <w:rFonts w:ascii="仿宋_GB2312" w:hAnsi="仿宋_GB2312" w:eastAsia="仿宋_GB2312" w:cs="仿宋_GB2312"/>
          <w:color w:val="000000" w:themeColor="text1"/>
          <w:sz w:val="32"/>
          <w:szCs w:val="36"/>
          <w14:textFill>
            <w14:solidFill>
              <w14:schemeClr w14:val="tx1"/>
            </w14:solidFill>
          </w14:textFill>
        </w:rPr>
        <w:t>将费用高于病种标准医疗费用2倍的病例作为费用超高病例。</w:t>
      </w:r>
    </w:p>
    <w:p>
      <w:pPr>
        <w:spacing w:line="560" w:lineRule="exact"/>
        <w:ind w:firstLine="500"/>
        <w:rPr>
          <w:rFonts w:hint="eastAsia" w:ascii="仿宋_GB2312" w:hAnsi="仿宋_GB2312" w:eastAsia="仿宋_GB2312" w:cs="仿宋_GB2312"/>
          <w:color w:val="000000" w:themeColor="text1"/>
          <w:sz w:val="32"/>
          <w:szCs w:val="36"/>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费用超高病例分值=〔(该病例医疗费用÷病种标准医疗费用-2)+1〕×该病种分值×辅助目录</w:t>
      </w:r>
      <w:r>
        <w:rPr>
          <w:rFonts w:hint="eastAsia" w:ascii="仿宋_GB2312" w:hAnsi="仿宋_GB2312" w:eastAsia="仿宋_GB2312" w:cs="仿宋_GB2312"/>
          <w:color w:val="000000" w:themeColor="text1"/>
          <w:sz w:val="32"/>
          <w:szCs w:val="36"/>
          <w14:textFill>
            <w14:solidFill>
              <w14:schemeClr w14:val="tx1"/>
            </w14:solidFill>
          </w14:textFill>
        </w:rPr>
        <w:t>调节</w:t>
      </w:r>
      <w:r>
        <w:rPr>
          <w:rFonts w:ascii="仿宋_GB2312" w:hAnsi="仿宋_GB2312" w:eastAsia="仿宋_GB2312" w:cs="仿宋_GB2312"/>
          <w:color w:val="000000" w:themeColor="text1"/>
          <w:sz w:val="32"/>
          <w:szCs w:val="36"/>
          <w14:textFill>
            <w14:solidFill>
              <w14:schemeClr w14:val="tx1"/>
            </w14:solidFill>
          </w14:textFill>
        </w:rPr>
        <w:t>系数×</w:t>
      </w:r>
      <w:r>
        <w:rPr>
          <w:rFonts w:hint="eastAsia" w:ascii="仿宋_GB2312" w:hAnsi="仿宋_GB2312" w:eastAsia="仿宋_GB2312" w:cs="仿宋_GB2312"/>
          <w:color w:val="000000" w:themeColor="text1"/>
          <w:sz w:val="32"/>
          <w:szCs w:val="36"/>
          <w:lang w:eastAsia="zh-CN"/>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机构等级系数</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基层病种分值</w:t>
      </w:r>
    </w:p>
    <w:p>
      <w:pPr>
        <w:spacing w:line="560" w:lineRule="exact"/>
        <w:ind w:firstLine="500"/>
        <w:rPr>
          <w:rFonts w:hint="eastAsia" w:ascii="仿宋_GB2312" w:hAnsi="仿宋_GB2312" w:cs="仿宋_GB2312"/>
          <w:color w:val="000000" w:themeColor="text1"/>
          <w:sz w:val="32"/>
          <w:szCs w:val="36"/>
          <w14:textFill>
            <w14:solidFill>
              <w14:schemeClr w14:val="tx1"/>
            </w14:solidFill>
          </w14:textFill>
        </w:rPr>
      </w:pPr>
      <w:r>
        <w:rPr>
          <w:rFonts w:ascii="仿宋_GB2312" w:hAnsi="仿宋_GB2312" w:eastAsia="仿宋_GB2312" w:cs="仿宋_GB2312"/>
          <w:color w:val="000000" w:themeColor="text1"/>
          <w:sz w:val="32"/>
          <w:szCs w:val="36"/>
          <w14:textFill>
            <w14:solidFill>
              <w14:schemeClr w14:val="tx1"/>
            </w14:solidFill>
          </w14:textFill>
        </w:rPr>
        <w:t>为促进分级诊疗，选取医疗服务技术难度较低、医疗费用相对稳定、不同级别定点医疗机构均可开展的病种为基层病种。基层病种</w:t>
      </w:r>
      <w:r>
        <w:rPr>
          <w:rFonts w:hint="eastAsia" w:ascii="仿宋_GB2312" w:hAnsi="仿宋_GB2312" w:eastAsia="仿宋_GB2312" w:cs="仿宋_GB2312"/>
          <w:color w:val="000000" w:themeColor="text1"/>
          <w:sz w:val="32"/>
          <w:szCs w:val="36"/>
          <w14:textFill>
            <w14:solidFill>
              <w14:schemeClr w14:val="tx1"/>
            </w14:solidFill>
          </w14:textFill>
        </w:rPr>
        <w:t>的病例分值计算执行全省统一</w:t>
      </w:r>
      <w:r>
        <w:rPr>
          <w:rFonts w:ascii="仿宋_GB2312" w:hAnsi="仿宋_GB2312" w:eastAsia="仿宋_GB2312" w:cs="仿宋_GB2312"/>
          <w:color w:val="000000" w:themeColor="text1"/>
          <w:sz w:val="32"/>
          <w:szCs w:val="36"/>
          <w14:textFill>
            <w14:solidFill>
              <w14:schemeClr w14:val="tx1"/>
            </w14:solidFill>
          </w14:textFill>
        </w:rPr>
        <w:t>的</w:t>
      </w:r>
      <w:r>
        <w:rPr>
          <w:rFonts w:hint="eastAsia" w:ascii="仿宋_GB2312" w:hAnsi="仿宋_GB2312" w:eastAsia="仿宋_GB2312" w:cs="仿宋_GB2312"/>
          <w:color w:val="000000" w:themeColor="text1"/>
          <w:sz w:val="32"/>
          <w:szCs w:val="36"/>
          <w14:textFill>
            <w14:solidFill>
              <w14:schemeClr w14:val="tx1"/>
            </w14:solidFill>
          </w14:textFill>
        </w:rPr>
        <w:t>医疗机构</w:t>
      </w:r>
      <w:r>
        <w:rPr>
          <w:rFonts w:ascii="仿宋_GB2312" w:hAnsi="仿宋_GB2312" w:eastAsia="仿宋_GB2312" w:cs="仿宋_GB2312"/>
          <w:color w:val="000000" w:themeColor="text1"/>
          <w:sz w:val="32"/>
          <w:szCs w:val="36"/>
          <w14:textFill>
            <w14:solidFill>
              <w14:schemeClr w14:val="tx1"/>
            </w14:solidFill>
          </w14:textFill>
        </w:rPr>
        <w:t>等级系数</w:t>
      </w:r>
      <w:r>
        <w:rPr>
          <w:rFonts w:hint="eastAsia" w:ascii="仿宋_GB2312" w:hAnsi="仿宋_GB2312" w:eastAsia="仿宋_GB2312" w:cs="仿宋_GB2312"/>
          <w:color w:val="000000" w:themeColor="text1"/>
          <w:sz w:val="32"/>
          <w:szCs w:val="36"/>
          <w14:textFill>
            <w14:solidFill>
              <w14:schemeClr w14:val="tx1"/>
            </w14:solidFill>
          </w14:textFill>
        </w:rPr>
        <w:t>，基层病种医疗机构等级系数为二级医疗机构等级系数。</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中医优势病种分值</w:t>
      </w:r>
    </w:p>
    <w:p>
      <w:pPr>
        <w:spacing w:line="560" w:lineRule="exact"/>
        <w:ind w:firstLine="5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为</w:t>
      </w:r>
      <w:r>
        <w:rPr>
          <w:rFonts w:ascii="仿宋_GB2312" w:hAnsi="仿宋_GB2312" w:eastAsia="仿宋_GB2312" w:cs="仿宋_GB2312"/>
          <w:color w:val="000000" w:themeColor="text1"/>
          <w:sz w:val="32"/>
          <w:szCs w:val="36"/>
          <w14:textFill>
            <w14:solidFill>
              <w14:schemeClr w14:val="tx1"/>
            </w14:solidFill>
          </w14:textFill>
        </w:rPr>
        <w:t>促进传统医药传承创新发展</w:t>
      </w:r>
      <w:r>
        <w:rPr>
          <w:rFonts w:hint="eastAsia" w:ascii="仿宋_GB2312" w:hAnsi="仿宋_GB2312" w:eastAsia="仿宋_GB2312" w:cs="仿宋_GB2312"/>
          <w:color w:val="000000" w:themeColor="text1"/>
          <w:sz w:val="32"/>
          <w:szCs w:val="36"/>
          <w14:textFill>
            <w14:solidFill>
              <w14:schemeClr w14:val="tx1"/>
            </w14:solidFill>
          </w14:textFill>
        </w:rPr>
        <w:t>，提高</w:t>
      </w:r>
      <w:r>
        <w:rPr>
          <w:rFonts w:hint="eastAsia" w:ascii="仿宋_GB2312" w:hAnsi="仿宋_GB2312" w:eastAsia="仿宋_GB2312" w:cs="仿宋_GB2312"/>
          <w:color w:val="000000" w:themeColor="text1"/>
          <w:sz w:val="32"/>
          <w:szCs w:val="32"/>
          <w14:textFill>
            <w14:solidFill>
              <w14:schemeClr w14:val="tx1"/>
            </w14:solidFill>
          </w14:textFill>
        </w:rPr>
        <w:t>中医医疗资源有效利用，着力保障参保人员对中医药服务的需求，按照“中医优势明显、临床路径清晰、诊疗效果确切、质量安全可控、病例数量充足、费用相对稳定”的原则，遴选以纯中医治疗或以中医特色治疗为主、中医特色优势明显的病种作为中医优势病种，形成</w:t>
      </w:r>
      <w:r>
        <w:rPr>
          <w:rFonts w:hint="eastAsia" w:ascii="仿宋_GB2312" w:hAnsi="仿宋_GB2312" w:eastAsia="仿宋_GB2312" w:cs="仿宋_GB2312"/>
          <w:color w:val="000000" w:themeColor="text1"/>
          <w:sz w:val="32"/>
          <w:szCs w:val="36"/>
          <w14:textFill>
            <w14:solidFill>
              <w14:schemeClr w14:val="tx1"/>
            </w14:solidFill>
          </w14:textFill>
        </w:rPr>
        <w:t>全省DIP中医</w:t>
      </w:r>
      <w:r>
        <w:rPr>
          <w:rFonts w:ascii="仿宋_GB2312" w:hAnsi="仿宋_GB2312" w:eastAsia="仿宋_GB2312" w:cs="仿宋_GB2312"/>
          <w:color w:val="000000" w:themeColor="text1"/>
          <w:sz w:val="32"/>
          <w:szCs w:val="36"/>
          <w14:textFill>
            <w14:solidFill>
              <w14:schemeClr w14:val="tx1"/>
            </w14:solidFill>
          </w14:textFill>
        </w:rPr>
        <w:t>优势病种</w:t>
      </w:r>
      <w:r>
        <w:rPr>
          <w:rFonts w:hint="eastAsia" w:ascii="仿宋_GB2312" w:hAnsi="仿宋_GB2312" w:eastAsia="仿宋_GB2312" w:cs="仿宋_GB2312"/>
          <w:color w:val="000000" w:themeColor="text1"/>
          <w:sz w:val="32"/>
          <w:szCs w:val="36"/>
          <w14:textFill>
            <w14:solidFill>
              <w14:schemeClr w14:val="tx1"/>
            </w14:solidFill>
          </w14:textFill>
        </w:rPr>
        <w:t>目录及</w:t>
      </w:r>
      <w:r>
        <w:rPr>
          <w:rFonts w:ascii="仿宋_GB2312" w:hAnsi="仿宋_GB2312" w:eastAsia="仿宋_GB2312" w:cs="仿宋_GB2312"/>
          <w:color w:val="000000" w:themeColor="text1"/>
          <w:sz w:val="32"/>
          <w:szCs w:val="36"/>
          <w14:textFill>
            <w14:solidFill>
              <w14:schemeClr w14:val="tx1"/>
            </w14:solidFill>
          </w14:textFill>
        </w:rPr>
        <w:t>分值。</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6"/>
          <w14:textFill>
            <w14:solidFill>
              <w14:schemeClr w14:val="tx1"/>
            </w14:solidFill>
          </w14:textFill>
        </w:rPr>
        <w:t>精神类住院分值</w:t>
      </w:r>
    </w:p>
    <w:p>
      <w:pPr>
        <w:pStyle w:val="6"/>
        <w:spacing w:line="560" w:lineRule="exact"/>
        <w:ind w:firstLine="64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将精神类疾病的临床治疗划分为“急性发作期”和“康复期”。“急性发作期”病情较为严重，需要紧急干预，治疗周期短；“康复期”病情相对稳定，治疗重点转向康复和巩固，治疗周期长。结合精神类疾病诊疗特点，“</w:t>
      </w:r>
      <w:r>
        <w:rPr>
          <w:rFonts w:ascii="仿宋_GB2312" w:hAnsi="仿宋_GB2312" w:eastAsia="仿宋_GB2312" w:cs="仿宋_GB2312"/>
          <w:color w:val="000000" w:themeColor="text1"/>
          <w:sz w:val="32"/>
          <w:szCs w:val="36"/>
          <w14:textFill>
            <w14:solidFill>
              <w14:schemeClr w14:val="tx1"/>
            </w14:solidFill>
          </w14:textFill>
        </w:rPr>
        <w:t>急性发作期</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住院病例按照DIP病种分值进行结算</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康复期</w:t>
      </w:r>
      <w:r>
        <w:rPr>
          <w:rFonts w:hint="eastAsia" w:ascii="仿宋_GB2312" w:hAnsi="仿宋_GB2312" w:eastAsia="仿宋_GB2312" w:cs="仿宋_GB2312"/>
          <w:color w:val="000000" w:themeColor="text1"/>
          <w:sz w:val="32"/>
          <w:szCs w:val="36"/>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住院病例</w:t>
      </w:r>
      <w:r>
        <w:rPr>
          <w:rFonts w:hint="eastAsia" w:ascii="仿宋_GB2312" w:hAnsi="仿宋_GB2312" w:eastAsia="仿宋_GB2312" w:cs="仿宋_GB2312"/>
          <w:color w:val="000000" w:themeColor="text1"/>
          <w:sz w:val="32"/>
          <w:szCs w:val="36"/>
          <w14:textFill>
            <w14:solidFill>
              <w14:schemeClr w14:val="tx1"/>
            </w14:solidFill>
          </w14:textFill>
        </w:rPr>
        <w:t>按原付费办法结算。</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双侧手术病例分值</w:t>
      </w:r>
    </w:p>
    <w:p>
      <w:pPr>
        <w:pStyle w:val="6"/>
        <w:spacing w:line="560" w:lineRule="exact"/>
        <w:ind w:firstLine="64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为切实满足临床需求，对于临床已开展的双侧手术操作，针对无法通过编码明确区分单双侧情况，经专家论证后构建双侧手术操作目录库；定点医疗机构开展无法通过编码区分单双侧的双侧手术操作时，需在医保结算清单上同时上传两个手术操作；对符合相关要求的双侧手术病例额外补偿分值，分值计算公式为：</w:t>
      </w:r>
    </w:p>
    <w:p>
      <w:pPr>
        <w:pStyle w:val="6"/>
        <w:spacing w:line="560" w:lineRule="exact"/>
        <w:ind w:firstLine="64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双侧手术病例分值=病种分值</w:t>
      </w:r>
      <w:r>
        <w:rPr>
          <w:rFonts w:ascii="仿宋_GB2312" w:hAnsi="仿宋_GB2312" w:eastAsia="仿宋_GB2312" w:cs="仿宋_GB2312"/>
          <w:color w:val="000000" w:themeColor="text1"/>
          <w:sz w:val="32"/>
          <w:szCs w:val="36"/>
          <w14:textFill>
            <w14:solidFill>
              <w14:schemeClr w14:val="tx1"/>
            </w14:solidFill>
          </w14:textFill>
        </w:rPr>
        <w:t>×辅助目录</w:t>
      </w:r>
      <w:r>
        <w:rPr>
          <w:rFonts w:hint="eastAsia" w:ascii="仿宋_GB2312" w:hAnsi="仿宋_GB2312" w:eastAsia="仿宋_GB2312" w:cs="仿宋_GB2312"/>
          <w:color w:val="000000" w:themeColor="text1"/>
          <w:sz w:val="32"/>
          <w:szCs w:val="36"/>
          <w14:textFill>
            <w14:solidFill>
              <w14:schemeClr w14:val="tx1"/>
            </w14:solidFill>
          </w14:textFill>
        </w:rPr>
        <w:t>调节</w:t>
      </w:r>
      <w:r>
        <w:rPr>
          <w:rFonts w:ascii="仿宋_GB2312" w:hAnsi="仿宋_GB2312" w:eastAsia="仿宋_GB2312" w:cs="仿宋_GB2312"/>
          <w:color w:val="000000" w:themeColor="text1"/>
          <w:sz w:val="32"/>
          <w:szCs w:val="36"/>
          <w14:textFill>
            <w14:solidFill>
              <w14:schemeClr w14:val="tx1"/>
            </w14:solidFill>
          </w14:textFill>
        </w:rPr>
        <w:t>系数×</w:t>
      </w:r>
      <w:r>
        <w:rPr>
          <w:rFonts w:hint="eastAsia" w:ascii="仿宋_GB2312" w:hAnsi="仿宋_GB2312" w:eastAsia="仿宋_GB2312" w:cs="仿宋_GB2312"/>
          <w:color w:val="000000" w:themeColor="text1"/>
          <w:sz w:val="32"/>
          <w:szCs w:val="36"/>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机构等级系数</w:t>
      </w:r>
      <w:r>
        <w:rPr>
          <w:rFonts w:hint="eastAsia" w:ascii="仿宋_GB2312" w:hAnsi="仿宋_GB2312" w:eastAsia="仿宋_GB2312" w:cs="仿宋_GB2312"/>
          <w:color w:val="000000" w:themeColor="text1"/>
          <w:sz w:val="32"/>
          <w:szCs w:val="36"/>
          <w14:textFill>
            <w14:solidFill>
              <w14:schemeClr w14:val="tx1"/>
            </w14:solidFill>
          </w14:textFill>
        </w:rPr>
        <w:t>×双侧类手术补偿系数</w:t>
      </w:r>
    </w:p>
    <w:p>
      <w:pPr>
        <w:pStyle w:val="6"/>
        <w:spacing w:line="560" w:lineRule="exact"/>
        <w:ind w:firstLine="64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双侧类手术补偿系数=全省双侧手术病例平均费用</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全省单侧手术病例平均费用</w:t>
      </w:r>
    </w:p>
    <w:p>
      <w:pPr>
        <w:widowControl w:val="0"/>
        <w:numPr>
          <w:ilvl w:val="255"/>
          <w:numId w:val="0"/>
        </w:num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系数管理</w:t>
      </w:r>
    </w:p>
    <w:p>
      <w:pPr>
        <w:widowControl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根据</w:t>
      </w:r>
      <w:r>
        <w:rPr>
          <w:rFonts w:ascii="仿宋_GB2312" w:hAnsi="仿宋_GB2312" w:eastAsia="仿宋_GB2312" w:cs="仿宋_GB2312"/>
          <w:color w:val="000000" w:themeColor="text1"/>
          <w:sz w:val="32"/>
          <w:szCs w:val="36"/>
          <w14:textFill>
            <w14:solidFill>
              <w14:schemeClr w14:val="tx1"/>
            </w14:solidFill>
          </w14:textFill>
        </w:rPr>
        <w:t>医疗机构级别、</w:t>
      </w:r>
      <w:r>
        <w:rPr>
          <w:rFonts w:hint="eastAsia" w:ascii="仿宋_GB2312" w:hAnsi="仿宋_GB2312" w:eastAsia="仿宋_GB2312" w:cs="仿宋_GB2312"/>
          <w:color w:val="000000" w:themeColor="text1"/>
          <w:sz w:val="32"/>
          <w:szCs w:val="36"/>
          <w14:textFill>
            <w14:solidFill>
              <w14:schemeClr w14:val="tx1"/>
            </w14:solidFill>
          </w14:textFill>
        </w:rPr>
        <w:t>医疗水平</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国家政策导向、医保考核结果</w:t>
      </w:r>
      <w:r>
        <w:rPr>
          <w:rFonts w:ascii="仿宋_GB2312" w:hAnsi="仿宋_GB2312" w:eastAsia="仿宋_GB2312" w:cs="仿宋_GB2312"/>
          <w:color w:val="000000" w:themeColor="text1"/>
          <w:sz w:val="32"/>
          <w:szCs w:val="36"/>
          <w14:textFill>
            <w14:solidFill>
              <w14:schemeClr w14:val="tx1"/>
            </w14:solidFill>
          </w14:textFill>
        </w:rPr>
        <w:t>等因素，确定定点医疗机构的权重系数</w:t>
      </w:r>
      <w:r>
        <w:rPr>
          <w:rFonts w:hint="eastAsia" w:ascii="仿宋_GB2312" w:hAnsi="仿宋_GB2312" w:eastAsia="仿宋_GB2312" w:cs="仿宋_GB2312"/>
          <w:color w:val="000000" w:themeColor="text1"/>
          <w:sz w:val="32"/>
          <w:szCs w:val="36"/>
          <w:lang w:eastAsia="zh-CN"/>
          <w14:textFill>
            <w14:solidFill>
              <w14:schemeClr w14:val="tx1"/>
            </w14:solidFill>
          </w14:textFill>
        </w:rPr>
        <w:t>。</w:t>
      </w:r>
      <w:r>
        <w:rPr>
          <w:rFonts w:ascii="仿宋_GB2312" w:hAnsi="仿宋_GB2312" w:eastAsia="仿宋_GB2312" w:cs="仿宋_GB2312"/>
          <w:color w:val="000000" w:themeColor="text1"/>
          <w:sz w:val="32"/>
          <w:szCs w:val="36"/>
          <w14:textFill>
            <w14:solidFill>
              <w14:schemeClr w14:val="tx1"/>
            </w14:solidFill>
          </w14:textFill>
        </w:rPr>
        <w:t>定点医疗机构权重系数由</w:t>
      </w:r>
      <w:r>
        <w:rPr>
          <w:rFonts w:hint="eastAsia" w:ascii="仿宋_GB2312" w:hAnsi="仿宋_GB2312" w:eastAsia="仿宋_GB2312" w:cs="仿宋_GB2312"/>
          <w:color w:val="000000" w:themeColor="text1"/>
          <w:sz w:val="32"/>
          <w:szCs w:val="36"/>
          <w:lang w:eastAsia="zh-CN"/>
          <w14:textFill>
            <w14:solidFill>
              <w14:schemeClr w14:val="tx1"/>
            </w14:solidFill>
          </w14:textFill>
        </w:rPr>
        <w:t>医疗</w:t>
      </w:r>
      <w:r>
        <w:rPr>
          <w:rFonts w:ascii="仿宋_GB2312" w:hAnsi="仿宋_GB2312" w:eastAsia="仿宋_GB2312" w:cs="仿宋_GB2312"/>
          <w:color w:val="000000" w:themeColor="text1"/>
          <w:sz w:val="32"/>
          <w:szCs w:val="36"/>
          <w14:textFill>
            <w14:solidFill>
              <w14:schemeClr w14:val="tx1"/>
            </w14:solidFill>
          </w14:textFill>
        </w:rPr>
        <w:t>机构等级系数和</w:t>
      </w:r>
      <w:r>
        <w:rPr>
          <w:rFonts w:hint="eastAsia" w:ascii="仿宋_GB2312" w:hAnsi="仿宋_GB2312" w:eastAsia="仿宋_GB2312" w:cs="仿宋_GB2312"/>
          <w:color w:val="000000" w:themeColor="text1"/>
          <w:sz w:val="32"/>
          <w:szCs w:val="36"/>
          <w:lang w:eastAsia="zh-CN"/>
          <w14:textFill>
            <w14:solidFill>
              <w14:schemeClr w14:val="tx1"/>
            </w14:solidFill>
          </w14:textFill>
        </w:rPr>
        <w:t>医疗机构</w:t>
      </w:r>
      <w:r>
        <w:rPr>
          <w:rFonts w:ascii="仿宋_GB2312" w:hAnsi="仿宋_GB2312" w:eastAsia="仿宋_GB2312" w:cs="仿宋_GB2312"/>
          <w:color w:val="000000" w:themeColor="text1"/>
          <w:sz w:val="32"/>
          <w:szCs w:val="36"/>
          <w14:textFill>
            <w14:solidFill>
              <w14:schemeClr w14:val="tx1"/>
            </w14:solidFill>
          </w14:textFill>
        </w:rPr>
        <w:t>调节系数</w:t>
      </w:r>
      <w:r>
        <w:rPr>
          <w:rFonts w:hint="eastAsia" w:ascii="仿宋_GB2312" w:hAnsi="仿宋_GB2312" w:eastAsia="仿宋_GB2312" w:cs="仿宋_GB2312"/>
          <w:color w:val="000000" w:themeColor="text1"/>
          <w:sz w:val="32"/>
          <w:szCs w:val="36"/>
          <w14:textFill>
            <w14:solidFill>
              <w14:schemeClr w14:val="tx1"/>
            </w14:solidFill>
          </w14:textFill>
        </w:rPr>
        <w:t>组成。</w:t>
      </w:r>
    </w:p>
    <w:p>
      <w:pPr>
        <w:widowControl w:val="0"/>
        <w:numPr>
          <w:ilvl w:val="0"/>
          <w:numId w:val="2"/>
        </w:num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 xml:space="preserve"> 定点医疗机构等级系数以医院等级作为基本考量，结合诊疗能力水平、国家政策导向、医保考核结果等因素综合确定，以体现不同定点医疗机构之间收费项目定价、服务能力、专业性质等差异。定点医疗机构等级系数</w:t>
      </w:r>
      <w:r>
        <w:rPr>
          <w:rFonts w:hint="eastAsia" w:ascii="仿宋_GB2312" w:hAnsi="仿宋_GB2312" w:eastAsia="仿宋_GB2312" w:cs="仿宋_GB2312"/>
          <w:color w:val="000000" w:themeColor="text1"/>
          <w:sz w:val="32"/>
          <w:szCs w:val="36"/>
          <w:highlight w:val="none"/>
          <w14:textFill>
            <w14:solidFill>
              <w14:schemeClr w14:val="tx1"/>
            </w14:solidFill>
          </w14:textFill>
        </w:rPr>
        <w:t>在清算</w:t>
      </w:r>
      <w:r>
        <w:rPr>
          <w:rFonts w:hint="eastAsia" w:ascii="仿宋_GB2312" w:hAnsi="仿宋_GB2312" w:eastAsia="仿宋_GB2312" w:cs="仿宋_GB2312"/>
          <w:color w:val="000000" w:themeColor="text1"/>
          <w:sz w:val="32"/>
          <w:szCs w:val="36"/>
          <w14:textFill>
            <w14:solidFill>
              <w14:schemeClr w14:val="tx1"/>
            </w14:solidFill>
          </w14:textFill>
        </w:rPr>
        <w:t>前予以公布</w:t>
      </w:r>
      <w:r>
        <w:rPr>
          <w:rFonts w:ascii="仿宋_GB2312" w:hAnsi="仿宋_GB2312" w:eastAsia="仿宋_GB2312" w:cs="仿宋_GB2312"/>
          <w:color w:val="000000" w:themeColor="text1"/>
          <w:sz w:val="32"/>
          <w:szCs w:val="36"/>
          <w14:textFill>
            <w14:solidFill>
              <w14:schemeClr w14:val="tx1"/>
            </w14:solidFill>
          </w14:textFill>
        </w:rPr>
        <w:t>。</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医疗机构调节系数用于对医疗水平优异者、相关政策扶持发展而设定的激励系数，目前包括医疗机构病例组合（CMI）系数、重点专科系数、区域医疗中心系数、</w:t>
      </w:r>
      <w:r>
        <w:rPr>
          <w:rFonts w:hint="eastAsia" w:ascii="仿宋_GB2312" w:hAnsi="仿宋_GB2312" w:eastAsia="仿宋_GB2312" w:cs="仿宋_GB2312"/>
          <w:bCs/>
          <w:color w:val="000000" w:themeColor="text1"/>
          <w:sz w:val="32"/>
          <w:szCs w:val="32"/>
          <w14:textFill>
            <w14:solidFill>
              <w14:schemeClr w14:val="tx1"/>
            </w14:solidFill>
          </w14:textFill>
        </w:rPr>
        <w:t>老年患者系数、儿童患者系数、中医加成系数</w:t>
      </w:r>
      <w:r>
        <w:rPr>
          <w:rFonts w:hint="eastAsia" w:ascii="仿宋_GB2312" w:hAnsi="仿宋_GB2312" w:eastAsia="仿宋_GB2312" w:cs="仿宋_GB2312"/>
          <w:color w:val="000000" w:themeColor="text1"/>
          <w:sz w:val="32"/>
          <w:szCs w:val="32"/>
          <w14:textFill>
            <w14:solidFill>
              <w14:schemeClr w14:val="tx1"/>
            </w14:solidFill>
          </w14:textFill>
        </w:rPr>
        <w:t>，后续根据 DIP 运行情况进行动态调整。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1.病例组合（CMI）系数</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（1）病例组合（CMI）值=定点医疗机构（经辅助目录校正）核心病种入组分值之和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定点医疗机构核心病种总例数。</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（2）病例组合（CMI）系数以定点医疗机构去年同期CMI值为基准，每增长10%，加成0.5%，增长不足10%的，等比例折算。</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（3）病例组合（CMI）系数加成上限为2%。</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 重点专科系数</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（1）已完成国家级、省级临床重点专科建设的定点医疗机构，按取得的重点专科相应等级（国家级、省级）分别加成 0.2%、0.1%</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（2）医疗机构同时取得国家级、省级同一重点专科，按最高级别加成系数计算。</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（3）已完成5个以上重点学科建设的医疗机构，重点专科系数额外增加0.1%。</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 区域医疗中心系数</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属于国家区域医疗中心的定点医疗机构，加成0.1%。</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 老年患者系数</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定点医疗机构老年患者（65周岁及以上）住院占比大于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全省</w:t>
      </w:r>
      <w:r>
        <w:rPr>
          <w:rFonts w:hint="eastAsia" w:ascii="仿宋_GB2312" w:hAnsi="仿宋_GB2312" w:eastAsia="仿宋_GB2312" w:cs="仿宋_GB2312"/>
          <w:bCs/>
          <w:color w:val="000000" w:themeColor="text1"/>
          <w:sz w:val="32"/>
          <w:szCs w:val="32"/>
          <w14:textFill>
            <w14:solidFill>
              <w14:schemeClr w14:val="tx1"/>
            </w14:solidFill>
          </w14:textFill>
        </w:rPr>
        <w:t>同级别医疗机构平均值，每超出平均值10%的三级、二级和一级定点医疗机构分别加成0.2%、0.15%和0.1%，超出平均值不足10%的，等比例折算，最高调节不超过0.3%。康复医疗机构、医养结合医疗机构、眼科医疗机构不计算老年患者比例加成系数。</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医疗机构</w:t>
      </w:r>
      <w:r>
        <w:rPr>
          <w:rFonts w:hint="eastAsia" w:ascii="仿宋_GB2312" w:hAnsi="仿宋_GB2312" w:eastAsia="仿宋_GB2312" w:cs="仿宋_GB2312"/>
          <w:bCs/>
          <w:color w:val="000000" w:themeColor="text1"/>
          <w:sz w:val="32"/>
          <w:szCs w:val="32"/>
          <w14:textFill>
            <w14:solidFill>
              <w14:schemeClr w14:val="tx1"/>
            </w14:solidFill>
          </w14:textFill>
        </w:rPr>
        <w:t>老年病例数未达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全省老年</w:t>
      </w:r>
      <w:r>
        <w:rPr>
          <w:rFonts w:hint="eastAsia" w:ascii="仿宋_GB2312" w:hAnsi="仿宋_GB2312" w:eastAsia="仿宋_GB2312" w:cs="仿宋_GB2312"/>
          <w:bCs/>
          <w:color w:val="000000" w:themeColor="text1"/>
          <w:sz w:val="32"/>
          <w:szCs w:val="32"/>
          <w14:textFill>
            <w14:solidFill>
              <w14:schemeClr w14:val="tx1"/>
            </w14:solidFill>
          </w14:textFill>
        </w:rPr>
        <w:t>总病例</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数的</w:t>
      </w:r>
      <w:r>
        <w:rPr>
          <w:rFonts w:hint="eastAsia" w:ascii="仿宋_GB2312" w:hAnsi="仿宋_GB2312" w:eastAsia="仿宋_GB2312" w:cs="仿宋_GB2312"/>
          <w:bCs/>
          <w:color w:val="000000" w:themeColor="text1"/>
          <w:sz w:val="32"/>
          <w:szCs w:val="32"/>
          <w14:textFill>
            <w14:solidFill>
              <w14:schemeClr w14:val="tx1"/>
            </w14:solidFill>
          </w14:textFill>
        </w:rPr>
        <w:t>0.</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%不进行加成。</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5.儿童患者系数</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定点医疗机构14周岁以下（含14周岁）儿童住院占比大于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全省</w:t>
      </w:r>
      <w:r>
        <w:rPr>
          <w:rFonts w:hint="eastAsia" w:ascii="仿宋_GB2312" w:hAnsi="仿宋_GB2312" w:eastAsia="仿宋_GB2312" w:cs="仿宋_GB2312"/>
          <w:bCs/>
          <w:color w:val="000000" w:themeColor="text1"/>
          <w:sz w:val="32"/>
          <w:szCs w:val="32"/>
          <w14:textFill>
            <w14:solidFill>
              <w14:schemeClr w14:val="tx1"/>
            </w14:solidFill>
          </w14:textFill>
        </w:rPr>
        <w:t>同级别医疗机构平均值时，每超出平均值10%的三级、二级和一级定点医疗机构分别调节0.2%、0.15%和0.1%（按超出比例折算），最高调节不超过0.2%。医疗机构儿童病例数未达全省儿童总病例数的0.1%不进行加成。</w:t>
      </w:r>
    </w:p>
    <w:p>
      <w:pPr>
        <w:spacing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6.中医加成系数</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定点医疗机构所有出院病人中医综合治疗费用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指中药饮片费、中成药费以及治疗费中的中医及民族医诊疗类项目费用之和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比医疗总费用</w:t>
      </w:r>
      <w:r>
        <w:rPr>
          <w:rFonts w:hint="eastAsia" w:ascii="仿宋_GB2312" w:hAnsi="仿宋_GB2312" w:eastAsia="仿宋_GB2312" w:cs="仿宋_GB2312"/>
          <w:color w:val="000000" w:themeColor="text1"/>
          <w:sz w:val="32"/>
          <w:szCs w:val="32"/>
          <w14:textFill>
            <w14:solidFill>
              <w14:schemeClr w14:val="tx1"/>
            </w14:solidFill>
          </w14:textFill>
        </w:rPr>
        <w:t>≧30%加成1%；占比20%（含）-30%（不含）之间加成0.5%；占比在10%（含）-20%（不含）之间加成0.3%。</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医疗机构调节系数=病例组合（CMI）系数+</w:t>
      </w:r>
      <w:r>
        <w:rPr>
          <w:rFonts w:hint="eastAsia" w:ascii="仿宋_GB2312" w:hAnsi="仿宋_GB2312" w:eastAsia="仿宋_GB2312" w:cs="仿宋_GB2312"/>
          <w:bCs/>
          <w:color w:val="000000" w:themeColor="text1"/>
          <w:sz w:val="32"/>
          <w:szCs w:val="32"/>
          <w14:textFill>
            <w14:solidFill>
              <w14:schemeClr w14:val="tx1"/>
            </w14:solidFill>
          </w14:textFill>
        </w:rPr>
        <w:t>重点专科系数+区域医疗中心系数+老年患者系数+儿童患者系数+中医加成系数，其中各类调节系数之和</w:t>
      </w:r>
      <w:r>
        <w:rPr>
          <w:rFonts w:hint="eastAsia" w:ascii="仿宋_GB2312" w:hAnsi="仿宋_GB2312" w:eastAsia="仿宋_GB2312" w:cs="仿宋_GB2312"/>
          <w:color w:val="000000" w:themeColor="text1"/>
          <w:sz w:val="32"/>
          <w:szCs w:val="32"/>
          <w14:textFill>
            <w14:solidFill>
              <w14:schemeClr w14:val="tx1"/>
            </w14:solidFill>
          </w14:textFill>
        </w:rPr>
        <w:t>最高加成3%。</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对设置了辅助目录分型的核心病种，设立辅助目录分型调节系数，对病种分值予以调整校正。辅助目录分型调节系数计算公式为：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某病种辅助目录分型调节系数 = 该病种辅助目录分型平均医疗费用÷该病种平均医疗费用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特例单议</w:t>
      </w:r>
    </w:p>
    <w:p>
      <w:pPr>
        <w:widowControl w:val="0"/>
        <w:spacing w:line="560" w:lineRule="exact"/>
      </w:pPr>
    </w:p>
    <w:p>
      <w:pPr>
        <w:widowControl w:val="0"/>
        <w:numPr>
          <w:ilvl w:val="0"/>
          <w:numId w:val="2"/>
        </w:numPr>
        <w:spacing w:line="560" w:lineRule="exact"/>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 xml:space="preserve"> 针对</w:t>
      </w:r>
      <w:r>
        <w:rPr>
          <w:rFonts w:ascii="仿宋_GB2312" w:hAnsi="仿宋_GB2312" w:eastAsia="仿宋_GB2312" w:cs="仿宋_GB2312"/>
          <w:color w:val="000000" w:themeColor="text1"/>
          <w:sz w:val="32"/>
          <w:szCs w:val="32"/>
          <w14:textFill>
            <w14:solidFill>
              <w14:schemeClr w14:val="tx1"/>
            </w14:solidFill>
          </w14:textFill>
        </w:rPr>
        <w:t>因住院时间长、医疗费用高、新药耗新技术使用、复杂危重症</w:t>
      </w:r>
      <w:r>
        <w:rPr>
          <w:rFonts w:hint="eastAsia" w:ascii="仿宋_GB2312" w:hAnsi="仿宋_GB2312" w:eastAsia="仿宋_GB2312" w:cs="仿宋_GB2312"/>
          <w:color w:val="000000" w:themeColor="text1"/>
          <w:sz w:val="32"/>
          <w:szCs w:val="32"/>
          <w14:textFill>
            <w14:solidFill>
              <w14:schemeClr w14:val="tx1"/>
            </w14:solidFill>
          </w14:textFill>
        </w:rPr>
        <w:t>多学科联合诊疗</w:t>
      </w:r>
      <w:r>
        <w:rPr>
          <w:rFonts w:ascii="仿宋_GB2312" w:hAnsi="仿宋_GB2312" w:eastAsia="仿宋_GB2312" w:cs="仿宋_GB2312"/>
          <w:color w:val="000000" w:themeColor="text1"/>
          <w:sz w:val="32"/>
          <w:szCs w:val="32"/>
          <w14:textFill>
            <w14:solidFill>
              <w14:schemeClr w14:val="tx1"/>
            </w14:solidFill>
          </w14:textFill>
        </w:rPr>
        <w:t>等不适合按DIP标准支付的病例，经定点医疗机构自主申报，医保经办机构组织专家评议，</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ascii="仿宋_GB2312" w:hAnsi="仿宋_GB2312" w:eastAsia="仿宋_GB2312" w:cs="仿宋_GB2312"/>
          <w:color w:val="000000" w:themeColor="text1"/>
          <w:sz w:val="32"/>
          <w:szCs w:val="32"/>
          <w14:textFill>
            <w14:solidFill>
              <w14:schemeClr w14:val="tx1"/>
            </w14:solidFill>
          </w14:textFill>
        </w:rPr>
        <w:t>符合条件的</w:t>
      </w:r>
      <w:r>
        <w:rPr>
          <w:rFonts w:hint="eastAsia" w:ascii="仿宋_GB2312" w:hAnsi="仿宋_GB2312" w:eastAsia="仿宋_GB2312" w:cs="仿宋_GB2312"/>
          <w:color w:val="000000" w:themeColor="text1"/>
          <w:sz w:val="32"/>
          <w:szCs w:val="32"/>
          <w14:textFill>
            <w14:solidFill>
              <w14:schemeClr w14:val="tx1"/>
            </w14:solidFill>
          </w14:textFill>
        </w:rPr>
        <w:t>病例</w:t>
      </w:r>
      <w:r>
        <w:rPr>
          <w:rFonts w:ascii="仿宋_GB2312" w:hAnsi="仿宋_GB2312" w:eastAsia="仿宋_GB2312" w:cs="仿宋_GB2312"/>
          <w:color w:val="000000" w:themeColor="text1"/>
          <w:sz w:val="32"/>
          <w:szCs w:val="32"/>
          <w14:textFill>
            <w14:solidFill>
              <w14:schemeClr w14:val="tx1"/>
            </w14:solidFill>
          </w14:textFill>
        </w:rPr>
        <w:t>按规定予以补偿。</w:t>
      </w:r>
      <w:r>
        <w:rPr>
          <w:rFonts w:ascii="仿宋_GB2312" w:hAnsi="仿宋_GB2312" w:eastAsia="仿宋_GB2312" w:cs="仿宋_GB2312"/>
          <w:color w:val="000000" w:themeColor="text1"/>
          <w:sz w:val="32"/>
          <w:szCs w:val="36"/>
          <w14:textFill>
            <w14:solidFill>
              <w14:schemeClr w14:val="tx1"/>
            </w14:solidFill>
          </w14:textFill>
        </w:rPr>
        <w:t>特例单议</w:t>
      </w:r>
      <w:r>
        <w:rPr>
          <w:rFonts w:hint="eastAsia" w:ascii="仿宋_GB2312" w:hAnsi="仿宋_GB2312" w:eastAsia="仿宋_GB2312" w:cs="仿宋_GB2312"/>
          <w:color w:val="000000" w:themeColor="text1"/>
          <w:sz w:val="32"/>
          <w:szCs w:val="36"/>
          <w14:textFill>
            <w14:solidFill>
              <w14:schemeClr w14:val="tx1"/>
            </w14:solidFill>
          </w14:textFill>
        </w:rPr>
        <w:t>病例按照</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海南省按病种分值付费(DIP)特例单议实施办法</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执行。</w:t>
      </w:r>
      <w:r>
        <w:rPr>
          <w:rFonts w:hint="eastAsia" w:ascii="黑体" w:hAnsi="黑体" w:eastAsia="黑体" w:cs="黑体"/>
          <w:color w:val="000000" w:themeColor="text1"/>
          <w:sz w:val="32"/>
          <w:szCs w:val="32"/>
          <w14:textFill>
            <w14:solidFill>
              <w14:schemeClr w14:val="tx1"/>
            </w14:solidFill>
          </w14:textFill>
        </w:rPr>
        <w:t xml:space="preserve"> </w:t>
      </w:r>
    </w:p>
    <w:p>
      <w:pPr>
        <w:widowControl w:val="0"/>
        <w:spacing w:line="560" w:lineRule="exact"/>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除外支付管理</w:t>
      </w:r>
    </w:p>
    <w:p>
      <w:pPr>
        <w:widowControl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在充分发挥DIP付费引导规范医疗行为的同时，为确保临床正常诊疗能够获得合理支付，将公立医院特需服务超限额部分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对超过医保基金支付限额标准的床位费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乐城特许药械、国谈药（</w:t>
      </w:r>
      <w:r>
        <w:rPr>
          <w:rFonts w:hint="eastAsia" w:ascii="仿宋_GB2312" w:hAnsi="仿宋_GB2312" w:eastAsia="仿宋_GB2312" w:cs="仿宋_GB2312"/>
          <w:color w:val="000000" w:themeColor="text1"/>
          <w:sz w:val="32"/>
          <w:szCs w:val="32"/>
          <w14:textFill>
            <w14:solidFill>
              <w14:schemeClr w14:val="tx1"/>
            </w14:solidFill>
          </w14:textFill>
        </w:rPr>
        <w:t>含当年度转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类收费的药品</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、自费</w:t>
      </w:r>
      <w:r>
        <w:rPr>
          <w:rFonts w:hint="eastAsia" w:ascii="仿宋_GB2312" w:hAnsi="仿宋_GB2312" w:eastAsia="仿宋_GB2312" w:cs="仿宋_GB2312"/>
          <w:color w:val="000000" w:themeColor="text1"/>
          <w:sz w:val="32"/>
          <w:szCs w:val="32"/>
          <w14:textFill>
            <w14:solidFill>
              <w14:schemeClr w14:val="tx1"/>
            </w14:solidFill>
          </w14:textFill>
        </w:rPr>
        <w:t>单列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目录</w:t>
      </w:r>
      <w:r>
        <w:rPr>
          <w:rFonts w:hint="eastAsia" w:ascii="仿宋_GB2312" w:hAnsi="仿宋_GB2312" w:eastAsia="仿宋_GB2312" w:cs="仿宋_GB2312"/>
          <w:color w:val="000000" w:themeColor="text1"/>
          <w:sz w:val="32"/>
          <w:szCs w:val="32"/>
          <w14:textFill>
            <w14:solidFill>
              <w14:schemeClr w14:val="tx1"/>
            </w14:solidFill>
          </w14:textFill>
        </w:rPr>
        <w:t xml:space="preserve">等项目的费用进行除外支付，按项目付费。  </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结算管理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月度预结算时，</w:t>
      </w:r>
      <w:r>
        <w:rPr>
          <w:rFonts w:hint="eastAsia" w:ascii="仿宋_GB2312" w:hAnsi="仿宋_GB2312" w:eastAsia="仿宋_GB2312" w:cs="仿宋_GB2312"/>
          <w:color w:val="000000" w:themeColor="text1"/>
          <w:sz w:val="32"/>
          <w:szCs w:val="36"/>
          <w14:textFill>
            <w14:solidFill>
              <w14:schemeClr w14:val="tx1"/>
            </w14:solidFill>
          </w14:textFill>
        </w:rPr>
        <w:t>各定点医疗机构的月度基金预拨金额，以上月纳入按病种分值付费结算范围的病例的医保基金记账金额为基数，按比例予以预拨付。</w:t>
      </w:r>
    </w:p>
    <w:p>
      <w:pPr>
        <w:pStyle w:val="5"/>
        <w:spacing w:line="560" w:lineRule="exact"/>
        <w:ind w:left="0" w:leftChars="0" w:firstLine="640" w:firstLineChars="200"/>
        <w:rPr>
          <w:rFonts w:hint="eastAsia"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color w:val="000000" w:themeColor="text1"/>
          <w:sz w:val="32"/>
          <w:szCs w:val="36"/>
          <w14:textFill>
            <w14:solidFill>
              <w14:schemeClr w14:val="tx1"/>
            </w14:solidFill>
          </w14:textFill>
        </w:rPr>
        <w:t>月度基金预拨金额=按病种分值付费结算范围病例的基金记账金额×预拨付比例</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按医保定点协议，以定点医疗机构年度医保基金记账金额的5%为标准，设立质量保证金。质量保证金的扣减与年终考核结果挂钩，纳入年度清算范围。定点医疗机构年度考核结果为优秀，质量保证金不扣减；良好，质量保证金扣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%；合格，质量保证金扣减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%；不合格，质量保证金全部扣除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DIP清算分为季度清算和年度清算。本地就医按险种类型和市县区域分别进行季度清算和年度清算，省内跨市县就医按险种类型分别进行季度清算和年度清算。</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季度清算</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纳入DIP结算的病例按照医保结算时间进行季度清算。第四季度清算与年度清算同步进行。</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1.季度医疗机构DIP总分值 </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季度医疗机构DIP总分值=</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∑（各病种分值×辅助目录分型调节系数×医疗机构等级系数×医疗机构该季度各病种病例数）</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（1+医疗机构</w:t>
      </w:r>
      <w:r>
        <w:rPr>
          <w:rFonts w:ascii="仿宋_GB2312" w:hAnsi="仿宋_GB2312" w:eastAsia="仿宋_GB2312" w:cs="仿宋_GB2312"/>
          <w:color w:val="000000" w:themeColor="text1"/>
          <w:sz w:val="32"/>
          <w:szCs w:val="36"/>
          <w14:textFill>
            <w14:solidFill>
              <w14:schemeClr w14:val="tx1"/>
            </w14:solidFill>
          </w14:textFill>
        </w:rPr>
        <w:t>调节系数</w:t>
      </w:r>
      <w:r>
        <w:rPr>
          <w:rFonts w:hint="eastAsia" w:ascii="仿宋_GB2312" w:hAnsi="仿宋_GB2312" w:eastAsia="仿宋_GB2312" w:cs="仿宋_GB2312"/>
          <w:color w:val="000000" w:themeColor="text1"/>
          <w:sz w:val="32"/>
          <w:szCs w:val="36"/>
          <w14:textFill>
            <w14:solidFill>
              <w14:schemeClr w14:val="tx1"/>
            </w14:solidFill>
          </w14:textFill>
        </w:rPr>
        <w:t>）</w:t>
      </w:r>
    </w:p>
    <w:p>
      <w:pPr>
        <w:spacing w:line="56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各病种包括核心病种、综合病种、辅助目录分型病种、基层病种、费用偏差病例等。其中没有辅助目录分型的病种，辅助目录分型调节系数为1。</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2.季度清算点值</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各季度清算点值=〔该季度DIP医保基金支出预算+（∑该季度DIP病例总费用-∑该季度DIP病例医保基金记账金额）-除外项目支付费用〕÷∑该季度医疗机构DIP总分值</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3.医疗机构季度DIP基金预清算金额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医疗机构季度DIP基金预清算金额=医疗机构季度DIP总分值×季度清算点值-（季度DIP病例总费用-季度DIP病例医保基金记账金额）+ 除外项目支付费用</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年度预清算</w:t>
      </w:r>
    </w:p>
    <w:p>
      <w:pPr>
        <w:pStyle w:val="8"/>
        <w:spacing w:line="560" w:lineRule="exact"/>
        <w:ind w:firstLine="6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5"/>
          <w14:textFill>
            <w14:solidFill>
              <w14:schemeClr w14:val="tx1"/>
            </w14:solidFill>
          </w14:textFill>
        </w:rPr>
        <w:t>年度预清算</w:t>
      </w:r>
      <w:r>
        <w:rPr>
          <w:rFonts w:hint="eastAsia" w:ascii="仿宋_GB2312" w:hAnsi="仿宋_GB2312" w:eastAsia="仿宋_GB2312" w:cs="仿宋_GB2312"/>
          <w:color w:val="000000" w:themeColor="text1"/>
          <w:spacing w:val="11"/>
          <w:w w:val="95"/>
          <w14:textFill>
            <w14:solidFill>
              <w14:schemeClr w14:val="tx1"/>
            </w14:solidFill>
          </w14:textFill>
        </w:rPr>
        <w:t>是指与医疗机构核对数据及正式清算前进行的数据预处</w:t>
      </w:r>
      <w:r>
        <w:rPr>
          <w:rFonts w:hint="eastAsia" w:ascii="仿宋_GB2312" w:hAnsi="仿宋_GB2312" w:eastAsia="仿宋_GB2312" w:cs="仿宋_GB2312"/>
          <w:color w:val="000000" w:themeColor="text1"/>
          <w:spacing w:val="6"/>
          <w:w w:val="95"/>
          <w14:textFill>
            <w14:solidFill>
              <w14:schemeClr w14:val="tx1"/>
            </w14:solidFill>
          </w14:textFill>
        </w:rPr>
        <w:t>理，包括</w:t>
      </w:r>
      <w:r>
        <w:rPr>
          <w:rFonts w:hint="eastAsia" w:ascii="仿宋_GB2312" w:hAnsi="仿宋_GB2312" w:eastAsia="仿宋_GB2312" w:cs="仿宋_GB2312"/>
          <w:color w:val="000000" w:themeColor="text1"/>
          <w:spacing w:val="2"/>
          <w:w w:val="95"/>
          <w14:textFill>
            <w14:solidFill>
              <w14:schemeClr w14:val="tx1"/>
            </w14:solidFill>
          </w14:textFill>
        </w:rPr>
        <w:t>DIP</w:t>
      </w:r>
      <w:r>
        <w:rPr>
          <w:rFonts w:hint="eastAsia" w:ascii="仿宋_GB2312" w:hAnsi="仿宋_GB2312" w:eastAsia="仿宋_GB2312" w:cs="仿宋_GB2312"/>
          <w:color w:val="000000" w:themeColor="text1"/>
          <w:spacing w:val="4"/>
          <w:w w:val="95"/>
          <w14:textFill>
            <w14:solidFill>
              <w14:schemeClr w14:val="tx1"/>
            </w14:solidFill>
          </w14:textFill>
        </w:rPr>
        <w:t>各项指标的计算以及对医疗机构医保考核情况的评估。根据全年医保基金记账费用及医保结算清单数据，</w:t>
      </w:r>
      <w:r>
        <w:rPr>
          <w:rFonts w:hint="eastAsia" w:ascii="仿宋_GB2312" w:hAnsi="仿宋_GB2312" w:eastAsia="仿宋_GB2312" w:cs="仿宋_GB2312"/>
          <w:color w:val="000000" w:themeColor="text1"/>
          <w14:textFill>
            <w14:solidFill>
              <w14:schemeClr w14:val="tx1"/>
            </w14:solidFill>
          </w14:textFill>
        </w:rPr>
        <w:t>测算实际产生的定点医疗机构年度总分值、清算点值，计算按DIP付费向各定点医疗机构预支付的金额。</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1.清算范围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根据医疗费用结算时间，将当年度1月1日至12月31日纳入DIP结算的病例纳入年度清算范围。</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2.年度DIP总分值</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年度医疗机构DIP总分值=</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∑（各病种分值×辅助目录分型调节系数×医疗机构等级系数×医疗机构年度各病种病例数）</w:t>
      </w:r>
      <w:r>
        <w:rPr>
          <w:rFonts w:ascii="仿宋_GB2312" w:hAnsi="仿宋_GB2312" w:eastAsia="仿宋_GB2312" w:cs="仿宋_GB2312"/>
          <w:color w:val="000000" w:themeColor="text1"/>
          <w:sz w:val="32"/>
          <w:szCs w:val="36"/>
          <w14:textFill>
            <w14:solidFill>
              <w14:schemeClr w14:val="tx1"/>
            </w14:solidFill>
          </w14:textFill>
        </w:rPr>
        <w:t>〕×</w:t>
      </w:r>
      <w:r>
        <w:rPr>
          <w:rFonts w:hint="eastAsia" w:ascii="仿宋_GB2312" w:hAnsi="仿宋_GB2312" w:eastAsia="仿宋_GB2312" w:cs="仿宋_GB2312"/>
          <w:color w:val="000000" w:themeColor="text1"/>
          <w:sz w:val="32"/>
          <w:szCs w:val="36"/>
          <w14:textFill>
            <w14:solidFill>
              <w14:schemeClr w14:val="tx1"/>
            </w14:solidFill>
          </w14:textFill>
        </w:rPr>
        <w:t>（1+医疗机构</w:t>
      </w:r>
      <w:r>
        <w:rPr>
          <w:rFonts w:ascii="仿宋_GB2312" w:hAnsi="仿宋_GB2312" w:eastAsia="仿宋_GB2312" w:cs="仿宋_GB2312"/>
          <w:color w:val="000000" w:themeColor="text1"/>
          <w:sz w:val="32"/>
          <w:szCs w:val="36"/>
          <w14:textFill>
            <w14:solidFill>
              <w14:schemeClr w14:val="tx1"/>
            </w14:solidFill>
          </w14:textFill>
        </w:rPr>
        <w:t>调节系数</w:t>
      </w:r>
      <w:r>
        <w:rPr>
          <w:rFonts w:hint="eastAsia" w:ascii="仿宋_GB2312" w:hAnsi="仿宋_GB2312" w:eastAsia="仿宋_GB2312" w:cs="仿宋_GB2312"/>
          <w:color w:val="000000" w:themeColor="text1"/>
          <w:sz w:val="32"/>
          <w:szCs w:val="36"/>
          <w14:textFill>
            <w14:solidFill>
              <w14:schemeClr w14:val="tx1"/>
            </w14:solidFill>
          </w14:textFill>
        </w:rPr>
        <w:t>）</w:t>
      </w:r>
    </w:p>
    <w:p>
      <w:pPr>
        <w:spacing w:line="56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各病种包括核心病种、综合病种、辅助目录分型病种、基层病种、费用偏差病例、双侧手术等。其中没有辅助目录分型的病种，辅助目录分型调节系数为1。</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3.年度清算点值</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年度清算点值=〔年度DIP医保基金支出预算+ （∑年度DIP病例总费用-∑年度DIP病例医保基金记账金额）-除外项目支付费用〕÷∑年度医疗机构DIP总分值</w:t>
      </w:r>
    </w:p>
    <w:p>
      <w:pPr>
        <w:widowControl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4.医疗机构年度DIP基金预支付金额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医疗机构年度DIP基金预支付金额=医疗机构年度DIP总分值×年度清算点值-（年度DIP病例总费用-年度DIP病例医保基金记账金额）+ 除外项目支付费用</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年度清算</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保部门根据预清算结果，按照“结余部分留用、合理超支分担”的原则确定各定点医疗机构结余留用和超支分担金额，并结合全年月度基金结算金额、季度清算金额、年度考核结果、审核扣款等，计算年度最终拨付医保基金，完成年度清算。</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结余留用超支分担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根据当年度定点医疗机构纳入DIP范围参保人员住院的实际记账金额与定点医疗机构年度DIP基金</w:t>
      </w:r>
      <w:r>
        <w:rPr>
          <w:rFonts w:ascii="仿宋_GB2312" w:hAnsi="仿宋_GB2312" w:eastAsia="仿宋_GB2312" w:cs="仿宋_GB2312"/>
          <w:color w:val="000000" w:themeColor="text1"/>
          <w:sz w:val="32"/>
          <w:szCs w:val="32"/>
          <w14:textFill>
            <w14:solidFill>
              <w14:schemeClr w14:val="tx1"/>
            </w14:solidFill>
          </w14:textFill>
        </w:rPr>
        <w:t>预</w:t>
      </w:r>
      <w:r>
        <w:rPr>
          <w:rFonts w:hint="eastAsia" w:ascii="仿宋_GB2312" w:hAnsi="仿宋_GB2312" w:eastAsia="仿宋_GB2312" w:cs="仿宋_GB2312"/>
          <w:color w:val="000000" w:themeColor="text1"/>
          <w:sz w:val="32"/>
          <w:szCs w:val="32"/>
          <w14:textFill>
            <w14:solidFill>
              <w14:schemeClr w14:val="tx1"/>
            </w14:solidFill>
          </w14:textFill>
        </w:rPr>
        <w:t>支付金额的比值（以下简称</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）确定各定点医疗机构结余留用和超支分担金额。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%及以下的，定点医疗机构DIP年度医保基金结余留用比例为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，剩余结余金额计入区域调节金用于超支分担；</w:t>
      </w:r>
    </w:p>
    <w:p>
      <w:pPr>
        <w:spacing w:line="560" w:lineRule="exact"/>
        <w:ind w:firstLine="640" w:firstLineChars="200"/>
        <w:rPr>
          <w:rFonts w:hint="eastAsi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含80%）</w:t>
      </w:r>
      <w:r>
        <w:rPr>
          <w:rFonts w:hint="eastAsia" w:ascii="仿宋_GB2312" w:hAnsi="仿宋_GB2312" w:eastAsia="仿宋_GB2312" w:cs="仿宋_GB2312"/>
          <w:color w:val="000000" w:themeColor="text1"/>
          <w:sz w:val="32"/>
          <w:szCs w:val="32"/>
          <w14:textFill>
            <w14:solidFill>
              <w14:schemeClr w14:val="tx1"/>
            </w14:solidFill>
          </w14:textFill>
        </w:rPr>
        <w:t>的，定点医疗机构DIP年度医保基金结余留用比例为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0%，且结余留用金额最高为实际记账金额的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0%，剩余结余金额计入区域调节金用于超支分担；</w:t>
      </w:r>
    </w:p>
    <w:p>
      <w:pPr>
        <w:spacing w:line="560" w:lineRule="exact"/>
        <w:ind w:firstLine="640" w:firstLineChars="200"/>
        <w:rPr>
          <w:rFonts w:hint="eastAsi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含90%）</w:t>
      </w:r>
      <w:r>
        <w:rPr>
          <w:rFonts w:hint="eastAsia" w:ascii="仿宋_GB2312" w:hAnsi="仿宋_GB2312" w:eastAsia="仿宋_GB2312" w:cs="仿宋_GB2312"/>
          <w:color w:val="000000" w:themeColor="text1"/>
          <w:sz w:val="32"/>
          <w:szCs w:val="32"/>
          <w14:textFill>
            <w14:solidFill>
              <w14:schemeClr w14:val="tx1"/>
            </w14:solidFill>
          </w14:textFill>
        </w:rPr>
        <w:t>的，定点医疗机构DIP年度医保基金结余留用比例为9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%，剩余结余金额计入区域调节金用于超支分担；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0%-100%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含100%）</w:t>
      </w:r>
      <w:r>
        <w:rPr>
          <w:rFonts w:hint="eastAsia" w:ascii="仿宋_GB2312" w:hAnsi="仿宋_GB2312" w:eastAsia="仿宋_GB2312" w:cs="仿宋_GB2312"/>
          <w:color w:val="000000" w:themeColor="text1"/>
          <w:sz w:val="32"/>
          <w:szCs w:val="32"/>
          <w14:textFill>
            <w14:solidFill>
              <w14:schemeClr w14:val="tx1"/>
            </w14:solidFill>
          </w14:textFill>
        </w:rPr>
        <w:t>的，定点医疗机构DIP年度医保基金结余留用比例为9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%，剩余结余金额计入区域调节金用于超支分担；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.当基金使用率在100%-110%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含110%）</w:t>
      </w:r>
      <w:r>
        <w:rPr>
          <w:rFonts w:hint="eastAsia" w:ascii="仿宋_GB2312" w:hAnsi="仿宋_GB2312" w:eastAsia="仿宋_GB2312" w:cs="仿宋_GB2312"/>
          <w:color w:val="000000" w:themeColor="text1"/>
          <w:sz w:val="32"/>
          <w:szCs w:val="32"/>
          <w14:textFill>
            <w14:solidFill>
              <w14:schemeClr w14:val="tx1"/>
            </w14:solidFill>
          </w14:textFill>
        </w:rPr>
        <w:t>的，定点医疗机构DIP年度医保基金进行超支分担；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在110%以上的，按照封顶值110%来进行超支分担。</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.分担比例与定点医疗机构年度考核结果挂钩：</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（1）年度考核结果为优秀的定点医疗机构，DIP超支分担比例为80%；</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（2）年度考核结果为良好的定点医疗机构，DIP超支分担比例为60%；</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（3）年度考核结果为合格的定点医疗机构，DIP超支分担比例为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（4）年度考核结果为不合格的定点医疗机构，不进行分担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DIP年度医保基金决算</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实施定点医疗机构全省统一决算，定点医疗机构DIP年度医保基金决算支付总额计算规则为：</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（1）当</w:t>
      </w:r>
      <w:r>
        <w:rPr>
          <w:rFonts w:ascii="仿宋_GB2312" w:hAnsi="仿宋_GB2312" w:eastAsia="仿宋_GB2312" w:cs="仿宋_GB2312"/>
          <w:color w:val="000000" w:themeColor="text1"/>
          <w:sz w:val="32"/>
          <w:szCs w:val="32"/>
          <w14:textFill>
            <w14:solidFill>
              <w14:schemeClr w14:val="tx1"/>
            </w14:solidFill>
          </w14:textFill>
        </w:rPr>
        <w:t>基金使用率</w:t>
      </w:r>
      <w:r>
        <w:rPr>
          <w:rFonts w:hint="eastAsia" w:ascii="仿宋_GB2312" w:hAnsi="仿宋_GB2312" w:eastAsia="仿宋_GB2312" w:cs="仿宋_GB2312"/>
          <w:color w:val="000000" w:themeColor="text1"/>
          <w:sz w:val="32"/>
          <w:szCs w:val="32"/>
          <w14:textFill>
            <w14:solidFill>
              <w14:schemeClr w14:val="tx1"/>
            </w14:solidFill>
          </w14:textFill>
        </w:rPr>
        <w:t>在100%以下：定点医疗机构DIP年度医保基金决算支付总额=定点医疗机构住院年度医保基金实际记账金额+（定点医疗机构年度DIP基金预支付金额-定点医疗机构住院年度医保基金实际记账金额）×结余留用比例</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（2）当基金使用率在100%-110%：定点医疗机构DIP年度医保基金决算支付总额=定点医疗机构年度DIP基金预支付金额×（基金使用率-1）×超支分担比例+定点医疗机构年度DIP基金预支付金额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（3）当基金使用率在110%以上：定点医疗机构DIP年度医保基金决算支付总额=定点医疗机构年度DIP基金预支付金额×10%×超支分担比例+定点医疗机构年度DIP基金预支付金额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各定点医疗机构DIP超支分担总额利用医保经办机构预设的区域调节金进行支付，当各定点医疗机构DIP超支分担总额累计金额小于区域调节金总额时，剩余区域调节金计入年度医保基金结余，当各定点医疗机构DIP超支分担总额累计金额大于区域调节金总额时，超支分担总额进行等比例缩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缩减比例=区域调节金总额÷各定点医疗机构DIP超支分担总额</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DIP年度清算医保基金支付</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各定点医疗机构DIP年度清算医保基金支付金额=定点医疗机构DIP年度医保基金决算支付总额-月度预结算及季度清算累计基金支付金额-质量保证金扣减金额-年度违规扣款金额</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各级经办机构核定各定点医疗机构DIP年度清算医保基金支付金额后，报所在地医疗保障行政部门同意后执行，各级医疗保障行政部门原则上应在5个工作日内完成审核。</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1"/>
        </w:numPr>
        <w:spacing w:line="560" w:lineRule="exact"/>
        <w:jc w:val="center"/>
        <w:outlineLvl w:val="0"/>
        <w:rPr>
          <w:rFonts w:hint="eastAsia" w:ascii="黑体" w:hAnsi="黑体" w:eastAsia="黑体" w:cs="黑体"/>
          <w:sz w:val="32"/>
          <w:szCs w:val="32"/>
        </w:rPr>
      </w:pPr>
      <w:r>
        <w:rPr>
          <w:rFonts w:hint="eastAsia" w:ascii="黑体" w:hAnsi="黑体" w:eastAsia="黑体" w:cs="黑体"/>
          <w:color w:val="000000" w:themeColor="text1"/>
          <w:sz w:val="32"/>
          <w:szCs w:val="32"/>
          <w14:textFill>
            <w14:solidFill>
              <w14:schemeClr w14:val="tx1"/>
            </w14:solidFill>
          </w14:textFill>
        </w:rPr>
        <w:t xml:space="preserve"> 监督管理</w:t>
      </w:r>
    </w:p>
    <w:p>
      <w:pPr>
        <w:widowControl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定点医疗机构应加强数据管理，严格按照医疗保障基金结算清单填写规范上传疾病诊断、手术操作名称等信息。</w:t>
      </w:r>
    </w:p>
    <w:p>
      <w:pPr>
        <w:widowControl w:val="0"/>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定点医疗机构应坚持因病施治的原则，合理检查、合理治疗、合理用药、合理收费，合理控制住院病人自费的药物、材料和诊疗项目费用。</w:t>
      </w:r>
    </w:p>
    <w:p>
      <w:pPr>
        <w:widowControl w:val="0"/>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定点医疗机构应当按要求如实向经办机构报送药品、耗材的采购价格和数量。经办机构应通过谈判的方式确定定点医疗机构诊疗项目、医用耗材以及药品医保支付标准，提高基金使用效率。参保人员发生超过诊疗项目、医用耗材以及药品医保支付标准的费用由个人负担。</w:t>
      </w:r>
    </w:p>
    <w:p>
      <w:pPr>
        <w:widowControl w:val="0"/>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办机构应当加强信息系统建设，对编码高套、编码低套、分解住院、低标入院、超长住院等相关疑点数据开展核查。经核查确认定点医疗机构存在“编码高套”、“编码低套”、“分解住院”、“挂床住院”、“体检住院”、“推诿病人”以及将住院医疗费用分解至门诊、零售药店或让病人单独自费结算等情形的，不予结算。其他造成医疗保障基金损失的情形，按有关规定处理。</w:t>
      </w:r>
    </w:p>
    <w:p>
      <w:pPr>
        <w:spacing w:line="560" w:lineRule="exact"/>
        <w:rPr>
          <w:rFonts w:hint="eastAsia" w:ascii="仿宋_GB2312" w:hAnsi="仿宋_GB2312" w:eastAsia="仿宋_GB2312" w:cs="仿宋_GB2312"/>
          <w:sz w:val="32"/>
          <w:szCs w:val="32"/>
        </w:rPr>
      </w:pPr>
    </w:p>
    <w:p>
      <w:pPr>
        <w:numPr>
          <w:ilvl w:val="0"/>
          <w:numId w:val="1"/>
        </w:numPr>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附  则</w:t>
      </w:r>
    </w:p>
    <w:p>
      <w:pPr>
        <w:pStyle w:val="18"/>
        <w:spacing w:line="560" w:lineRule="exact"/>
        <w:rPr>
          <w:rFonts w:hint="eastAsia" w:ascii="仿宋_GB2312" w:hAnsi="仿宋_GB2312" w:eastAsia="仿宋_GB2312" w:cs="仿宋_GB2312"/>
          <w:szCs w:val="32"/>
        </w:rPr>
      </w:pP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实施按DIP付费的紧密型医共体（医联体）的住院区域总额预算和年度清算仍按照《</w:t>
      </w:r>
      <w:r>
        <w:rPr>
          <w:rFonts w:hint="eastAsia" w:ascii="仿宋_GB2312" w:hAnsi="仿宋_GB2312" w:eastAsia="仿宋_GB2312" w:cs="仿宋_GB2312"/>
          <w:sz w:val="32"/>
          <w:szCs w:val="32"/>
        </w:rPr>
        <w:t>海南省关于协同推进医保支付方式改革和紧密型医疗联合体建设指导意见》</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sz w:val="32"/>
          <w:szCs w:val="32"/>
        </w:rPr>
        <w:t>琼医保〔</w:t>
      </w:r>
      <w:r>
        <w:rPr>
          <w:rFonts w:ascii="仿宋_GB2312" w:hAnsi="仿宋_GB2312" w:eastAsia="仿宋_GB2312"/>
          <w:sz w:val="32"/>
          <w:szCs w:val="32"/>
        </w:rPr>
        <w:t>202</w:t>
      </w:r>
      <w:r>
        <w:rPr>
          <w:rFonts w:ascii="仿宋_GB2312" w:hAnsi="仿宋_GB2312"/>
          <w:sz w:val="32"/>
          <w:szCs w:val="32"/>
        </w:rPr>
        <w:t>3</w:t>
      </w:r>
      <w:r>
        <w:rPr>
          <w:rFonts w:hint="eastAsia" w:ascii="仿宋_GB2312" w:hAnsi="仿宋_GB2312" w:eastAsia="仿宋_GB2312"/>
          <w:sz w:val="32"/>
          <w:szCs w:val="32"/>
        </w:rPr>
        <w:t>〕</w:t>
      </w:r>
      <w:r>
        <w:rPr>
          <w:rFonts w:ascii="仿宋_GB2312" w:hAnsi="仿宋_GB2312"/>
          <w:sz w:val="32"/>
          <w:szCs w:val="32"/>
        </w:rPr>
        <w:t>181</w:t>
      </w:r>
      <w:r>
        <w:rPr>
          <w:rFonts w:hint="eastAsia" w:ascii="仿宋_GB2312" w:hAnsi="仿宋_GB2312" w:eastAsia="仿宋_GB2312"/>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执行。</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本办法由海南省医疗保障局、海南省医疗保险服务中心按照各自职责负责解释。</w:t>
      </w:r>
    </w:p>
    <w:p>
      <w:pPr>
        <w:widowControl w:val="0"/>
        <w:numPr>
          <w:ilvl w:val="0"/>
          <w:numId w:val="2"/>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本办法自印发之日起正式施行。已有规定与本办法不一致的，按照本办法执行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xml:space="preserve"> </w:t>
      </w:r>
    </w:p>
    <w:p>
      <w:pPr>
        <w:widowControl/>
        <w:spacing w:line="56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7312"/>
    <w:multiLevelType w:val="singleLevel"/>
    <w:tmpl w:val="92C57312"/>
    <w:lvl w:ilvl="0" w:tentative="0">
      <w:start w:val="1"/>
      <w:numFmt w:val="chineseCounting"/>
      <w:suff w:val="space"/>
      <w:lvlText w:val="第%1条"/>
      <w:lvlJc w:val="left"/>
      <w:rPr>
        <w:rFonts w:hint="eastAsia" w:ascii="黑体" w:hAnsi="黑体" w:eastAsia="黑体" w:cs="黑体"/>
        <w:sz w:val="32"/>
        <w:szCs w:val="32"/>
      </w:rPr>
    </w:lvl>
  </w:abstractNum>
  <w:abstractNum w:abstractNumId="1">
    <w:nsid w:val="F5A5C75F"/>
    <w:multiLevelType w:val="singleLevel"/>
    <w:tmpl w:val="F5A5C75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77"/>
    <w:rsid w:val="003F4C12"/>
    <w:rsid w:val="004A286A"/>
    <w:rsid w:val="004B5BC1"/>
    <w:rsid w:val="00695862"/>
    <w:rsid w:val="009617F9"/>
    <w:rsid w:val="009A150A"/>
    <w:rsid w:val="00B20F37"/>
    <w:rsid w:val="00E61CFC"/>
    <w:rsid w:val="00E63B77"/>
    <w:rsid w:val="00EA52CD"/>
    <w:rsid w:val="01042CD0"/>
    <w:rsid w:val="01483505"/>
    <w:rsid w:val="019D55FE"/>
    <w:rsid w:val="01A3073B"/>
    <w:rsid w:val="01B82438"/>
    <w:rsid w:val="022B0E5C"/>
    <w:rsid w:val="0281282A"/>
    <w:rsid w:val="02AF383B"/>
    <w:rsid w:val="031E276F"/>
    <w:rsid w:val="036D2DAF"/>
    <w:rsid w:val="03B42A21"/>
    <w:rsid w:val="0405748B"/>
    <w:rsid w:val="048760F2"/>
    <w:rsid w:val="04C32BDF"/>
    <w:rsid w:val="04C74740"/>
    <w:rsid w:val="06802782"/>
    <w:rsid w:val="06AE3886"/>
    <w:rsid w:val="07971D2A"/>
    <w:rsid w:val="08BB636A"/>
    <w:rsid w:val="08F875BE"/>
    <w:rsid w:val="09616F12"/>
    <w:rsid w:val="09A017D8"/>
    <w:rsid w:val="0A5A6688"/>
    <w:rsid w:val="0A6E5D8A"/>
    <w:rsid w:val="0B2C17A1"/>
    <w:rsid w:val="0B2E1EE3"/>
    <w:rsid w:val="0B5A402C"/>
    <w:rsid w:val="0B9F6417"/>
    <w:rsid w:val="0BCE4606"/>
    <w:rsid w:val="0BF033E0"/>
    <w:rsid w:val="0C040028"/>
    <w:rsid w:val="0C4A71B8"/>
    <w:rsid w:val="0C7156BE"/>
    <w:rsid w:val="0E356BBF"/>
    <w:rsid w:val="0E7250C9"/>
    <w:rsid w:val="0E807E3A"/>
    <w:rsid w:val="0F337A40"/>
    <w:rsid w:val="10482BD9"/>
    <w:rsid w:val="10F92125"/>
    <w:rsid w:val="110B7BD3"/>
    <w:rsid w:val="112371A2"/>
    <w:rsid w:val="1146527D"/>
    <w:rsid w:val="11A3317D"/>
    <w:rsid w:val="11BA18B5"/>
    <w:rsid w:val="12BB58E4"/>
    <w:rsid w:val="12DC585B"/>
    <w:rsid w:val="12E60488"/>
    <w:rsid w:val="12F605AB"/>
    <w:rsid w:val="12F93A75"/>
    <w:rsid w:val="14131750"/>
    <w:rsid w:val="14261483"/>
    <w:rsid w:val="15023C9F"/>
    <w:rsid w:val="155362A8"/>
    <w:rsid w:val="15681628"/>
    <w:rsid w:val="16A62408"/>
    <w:rsid w:val="1700420E"/>
    <w:rsid w:val="17961FEA"/>
    <w:rsid w:val="18FE477D"/>
    <w:rsid w:val="194702F7"/>
    <w:rsid w:val="19960E59"/>
    <w:rsid w:val="1A562397"/>
    <w:rsid w:val="1A6E148E"/>
    <w:rsid w:val="1A72381C"/>
    <w:rsid w:val="1AAE21D3"/>
    <w:rsid w:val="1ABD2416"/>
    <w:rsid w:val="1B9F4DE1"/>
    <w:rsid w:val="1C6E7533"/>
    <w:rsid w:val="1E085F02"/>
    <w:rsid w:val="1EAF2075"/>
    <w:rsid w:val="1EC975DB"/>
    <w:rsid w:val="2020147D"/>
    <w:rsid w:val="20A420AE"/>
    <w:rsid w:val="20B87907"/>
    <w:rsid w:val="20D420A1"/>
    <w:rsid w:val="210C2DC4"/>
    <w:rsid w:val="215313DE"/>
    <w:rsid w:val="22D749B9"/>
    <w:rsid w:val="230A1F70"/>
    <w:rsid w:val="23841D23"/>
    <w:rsid w:val="239F090A"/>
    <w:rsid w:val="23B1063E"/>
    <w:rsid w:val="23B36E87"/>
    <w:rsid w:val="23C640E9"/>
    <w:rsid w:val="24343749"/>
    <w:rsid w:val="264B0FC7"/>
    <w:rsid w:val="26E265AE"/>
    <w:rsid w:val="273514E0"/>
    <w:rsid w:val="27D03788"/>
    <w:rsid w:val="280653FC"/>
    <w:rsid w:val="28074CD0"/>
    <w:rsid w:val="28A718C1"/>
    <w:rsid w:val="29234621"/>
    <w:rsid w:val="29712D49"/>
    <w:rsid w:val="2973261D"/>
    <w:rsid w:val="2A524929"/>
    <w:rsid w:val="2AA607D0"/>
    <w:rsid w:val="2B88437A"/>
    <w:rsid w:val="2BDA4BD6"/>
    <w:rsid w:val="2BE94E19"/>
    <w:rsid w:val="2C097269"/>
    <w:rsid w:val="2C1C51EE"/>
    <w:rsid w:val="2CF717B7"/>
    <w:rsid w:val="2D2613E7"/>
    <w:rsid w:val="2D5B70D2"/>
    <w:rsid w:val="2D6A372F"/>
    <w:rsid w:val="2DA57465"/>
    <w:rsid w:val="2DCE3DB2"/>
    <w:rsid w:val="2E6433AC"/>
    <w:rsid w:val="2EC52083"/>
    <w:rsid w:val="2EFC6A22"/>
    <w:rsid w:val="2F365903"/>
    <w:rsid w:val="3026520B"/>
    <w:rsid w:val="30A77050"/>
    <w:rsid w:val="30F62648"/>
    <w:rsid w:val="31202E64"/>
    <w:rsid w:val="318B0720"/>
    <w:rsid w:val="319A58CB"/>
    <w:rsid w:val="31EF6F01"/>
    <w:rsid w:val="32314367"/>
    <w:rsid w:val="336E20A7"/>
    <w:rsid w:val="33AF14CE"/>
    <w:rsid w:val="33EA3E24"/>
    <w:rsid w:val="343B1E3D"/>
    <w:rsid w:val="346B298C"/>
    <w:rsid w:val="34E6283D"/>
    <w:rsid w:val="3517504B"/>
    <w:rsid w:val="353510CF"/>
    <w:rsid w:val="358D2CB9"/>
    <w:rsid w:val="35B629AE"/>
    <w:rsid w:val="36216CEC"/>
    <w:rsid w:val="36985DB9"/>
    <w:rsid w:val="37504CCE"/>
    <w:rsid w:val="37B409D1"/>
    <w:rsid w:val="38A8605B"/>
    <w:rsid w:val="38B844F1"/>
    <w:rsid w:val="38B93DC5"/>
    <w:rsid w:val="38CA4224"/>
    <w:rsid w:val="38FB07BF"/>
    <w:rsid w:val="396B3311"/>
    <w:rsid w:val="39991390"/>
    <w:rsid w:val="39A22AAB"/>
    <w:rsid w:val="39A69A17"/>
    <w:rsid w:val="3A9E14C4"/>
    <w:rsid w:val="3ACE550B"/>
    <w:rsid w:val="3B4A33FA"/>
    <w:rsid w:val="3B5878C5"/>
    <w:rsid w:val="3B6B3A9C"/>
    <w:rsid w:val="3BDC37EB"/>
    <w:rsid w:val="3BE63123"/>
    <w:rsid w:val="3BF97218"/>
    <w:rsid w:val="3C0B57D4"/>
    <w:rsid w:val="3D532A3A"/>
    <w:rsid w:val="3D5E16BB"/>
    <w:rsid w:val="3D6407A3"/>
    <w:rsid w:val="3DF6A794"/>
    <w:rsid w:val="3E9E1A93"/>
    <w:rsid w:val="3EF06066"/>
    <w:rsid w:val="3EFF42A6"/>
    <w:rsid w:val="40493C80"/>
    <w:rsid w:val="408E4D75"/>
    <w:rsid w:val="40DF6C85"/>
    <w:rsid w:val="418C651A"/>
    <w:rsid w:val="42002A64"/>
    <w:rsid w:val="422E75D1"/>
    <w:rsid w:val="42332E3A"/>
    <w:rsid w:val="43993170"/>
    <w:rsid w:val="43B77ACD"/>
    <w:rsid w:val="43C006FD"/>
    <w:rsid w:val="43C348B8"/>
    <w:rsid w:val="43FB7987"/>
    <w:rsid w:val="44A91191"/>
    <w:rsid w:val="46326F64"/>
    <w:rsid w:val="46AA0C87"/>
    <w:rsid w:val="46C774AF"/>
    <w:rsid w:val="46D36999"/>
    <w:rsid w:val="46DC584E"/>
    <w:rsid w:val="484E4529"/>
    <w:rsid w:val="48EB00AD"/>
    <w:rsid w:val="48FD7CFE"/>
    <w:rsid w:val="4A8423CD"/>
    <w:rsid w:val="4AAC3789"/>
    <w:rsid w:val="4B9F3E1E"/>
    <w:rsid w:val="4BB5606F"/>
    <w:rsid w:val="4C54559B"/>
    <w:rsid w:val="4C800A2A"/>
    <w:rsid w:val="4CAE1A3B"/>
    <w:rsid w:val="4D0478AD"/>
    <w:rsid w:val="4E191136"/>
    <w:rsid w:val="4E8812E3"/>
    <w:rsid w:val="4EC476BC"/>
    <w:rsid w:val="4FC357FD"/>
    <w:rsid w:val="4FFB7A54"/>
    <w:rsid w:val="50C2318C"/>
    <w:rsid w:val="51160A18"/>
    <w:rsid w:val="520C2D5F"/>
    <w:rsid w:val="527E1EAF"/>
    <w:rsid w:val="52BC29D7"/>
    <w:rsid w:val="532A16EF"/>
    <w:rsid w:val="535E583D"/>
    <w:rsid w:val="537B1F4B"/>
    <w:rsid w:val="546B6463"/>
    <w:rsid w:val="548D3EE2"/>
    <w:rsid w:val="55067F3A"/>
    <w:rsid w:val="559A7000"/>
    <w:rsid w:val="568D26C1"/>
    <w:rsid w:val="56C67981"/>
    <w:rsid w:val="56F444EE"/>
    <w:rsid w:val="570E3261"/>
    <w:rsid w:val="578810DA"/>
    <w:rsid w:val="578B60AE"/>
    <w:rsid w:val="57BD6FD6"/>
    <w:rsid w:val="58620690"/>
    <w:rsid w:val="58CF22AA"/>
    <w:rsid w:val="590F7803"/>
    <w:rsid w:val="59695A4A"/>
    <w:rsid w:val="597C6A1D"/>
    <w:rsid w:val="5A4412E8"/>
    <w:rsid w:val="5AAC3332"/>
    <w:rsid w:val="5AF95341"/>
    <w:rsid w:val="5C245875"/>
    <w:rsid w:val="5C543AE6"/>
    <w:rsid w:val="5C62639E"/>
    <w:rsid w:val="5CB36BF9"/>
    <w:rsid w:val="5CE172C2"/>
    <w:rsid w:val="5E3E24F3"/>
    <w:rsid w:val="5F396F19"/>
    <w:rsid w:val="5F724B4A"/>
    <w:rsid w:val="5F759306"/>
    <w:rsid w:val="5FA371CD"/>
    <w:rsid w:val="5FD01870"/>
    <w:rsid w:val="605424A1"/>
    <w:rsid w:val="60956D42"/>
    <w:rsid w:val="61691F7C"/>
    <w:rsid w:val="62587EE5"/>
    <w:rsid w:val="632A1297"/>
    <w:rsid w:val="636C5BDB"/>
    <w:rsid w:val="63864720"/>
    <w:rsid w:val="64540CC2"/>
    <w:rsid w:val="658B4525"/>
    <w:rsid w:val="660D737A"/>
    <w:rsid w:val="664B7EA3"/>
    <w:rsid w:val="665F74AA"/>
    <w:rsid w:val="66B912B0"/>
    <w:rsid w:val="66D932E1"/>
    <w:rsid w:val="670E33AA"/>
    <w:rsid w:val="677376B1"/>
    <w:rsid w:val="67FC76A6"/>
    <w:rsid w:val="6817003C"/>
    <w:rsid w:val="685C7BC6"/>
    <w:rsid w:val="688B0A2A"/>
    <w:rsid w:val="69003D0F"/>
    <w:rsid w:val="6A1D1B56"/>
    <w:rsid w:val="6A266C5C"/>
    <w:rsid w:val="6B1747F7"/>
    <w:rsid w:val="6B347157"/>
    <w:rsid w:val="6CBF6EF4"/>
    <w:rsid w:val="6CC83A88"/>
    <w:rsid w:val="6CFC5A53"/>
    <w:rsid w:val="6DFDB773"/>
    <w:rsid w:val="6E166FE8"/>
    <w:rsid w:val="6E4C47B8"/>
    <w:rsid w:val="6F392F8E"/>
    <w:rsid w:val="6F3C65DA"/>
    <w:rsid w:val="6F5E0C47"/>
    <w:rsid w:val="70CE3BAA"/>
    <w:rsid w:val="71EA0570"/>
    <w:rsid w:val="71EF2482"/>
    <w:rsid w:val="71FC5A26"/>
    <w:rsid w:val="7238577F"/>
    <w:rsid w:val="72D3107D"/>
    <w:rsid w:val="73F94DAE"/>
    <w:rsid w:val="741915E0"/>
    <w:rsid w:val="742BB615"/>
    <w:rsid w:val="743F7920"/>
    <w:rsid w:val="74624D35"/>
    <w:rsid w:val="74FE636F"/>
    <w:rsid w:val="759904FE"/>
    <w:rsid w:val="7688664F"/>
    <w:rsid w:val="76B008BE"/>
    <w:rsid w:val="771B650D"/>
    <w:rsid w:val="7746449A"/>
    <w:rsid w:val="777F4BEF"/>
    <w:rsid w:val="779C230C"/>
    <w:rsid w:val="77BC650A"/>
    <w:rsid w:val="77F53BF2"/>
    <w:rsid w:val="78186776"/>
    <w:rsid w:val="789C633C"/>
    <w:rsid w:val="792C3B64"/>
    <w:rsid w:val="7A1E34AC"/>
    <w:rsid w:val="7A543574"/>
    <w:rsid w:val="7B5D0F8C"/>
    <w:rsid w:val="7B6EAF5C"/>
    <w:rsid w:val="7B9D6653"/>
    <w:rsid w:val="7BB22C65"/>
    <w:rsid w:val="7CAE51E5"/>
    <w:rsid w:val="7CCF6CE0"/>
    <w:rsid w:val="7CD9190C"/>
    <w:rsid w:val="7D6B2EAC"/>
    <w:rsid w:val="7DA55F02"/>
    <w:rsid w:val="7DFFE723"/>
    <w:rsid w:val="7E1B01F2"/>
    <w:rsid w:val="7E2D3658"/>
    <w:rsid w:val="7E633B84"/>
    <w:rsid w:val="7EB663A9"/>
    <w:rsid w:val="7EBC1F79"/>
    <w:rsid w:val="7EBC6F52"/>
    <w:rsid w:val="7EC37706"/>
    <w:rsid w:val="7F13078A"/>
    <w:rsid w:val="7F7DCBAC"/>
    <w:rsid w:val="7F8C710A"/>
    <w:rsid w:val="7FD5285F"/>
    <w:rsid w:val="B3F31BC7"/>
    <w:rsid w:val="BAFFF25D"/>
    <w:rsid w:val="DB5A228C"/>
    <w:rsid w:val="DE0E4C3D"/>
    <w:rsid w:val="EB5FB3A8"/>
    <w:rsid w:val="EFBA1457"/>
    <w:rsid w:val="EFFBF8EB"/>
    <w:rsid w:val="F1EB7206"/>
    <w:rsid w:val="F3F939C5"/>
    <w:rsid w:val="F5F963B2"/>
    <w:rsid w:val="FDDD1B66"/>
    <w:rsid w:val="FDFBC563"/>
    <w:rsid w:val="FE77EE8D"/>
    <w:rsid w:val="FEF6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海南化工城正文"/>
    <w:basedOn w:val="1"/>
    <w:qFormat/>
    <w:uiPriority w:val="0"/>
    <w:pPr>
      <w:spacing w:line="324" w:lineRule="auto"/>
      <w:ind w:firstLine="480" w:firstLineChars="200"/>
    </w:pPr>
    <w:rPr>
      <w:rFonts w:ascii="宋体" w:hAnsi="宋体" w:eastAsia="宋体" w:cs="宋体"/>
      <w:sz w:val="24"/>
      <w:szCs w:val="20"/>
    </w:rPr>
  </w:style>
  <w:style w:type="paragraph" w:styleId="5">
    <w:name w:val="table of authorities"/>
    <w:basedOn w:val="1"/>
    <w:next w:val="1"/>
    <w:semiHidden/>
    <w:qFormat/>
    <w:uiPriority w:val="99"/>
    <w:pPr>
      <w:ind w:left="420" w:leftChars="200"/>
    </w:p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annotation text"/>
    <w:basedOn w:val="1"/>
    <w:link w:val="20"/>
    <w:qFormat/>
    <w:uiPriority w:val="0"/>
    <w:pPr>
      <w:jc w:val="left"/>
    </w:pPr>
  </w:style>
  <w:style w:type="paragraph" w:styleId="8">
    <w:name w:val="Body Text"/>
    <w:basedOn w:val="1"/>
    <w:qFormat/>
    <w:uiPriority w:val="1"/>
    <w:rPr>
      <w:sz w:val="32"/>
      <w:szCs w:val="32"/>
    </w:rPr>
  </w:style>
  <w:style w:type="paragraph" w:styleId="9">
    <w:name w:val="Body Text Indent"/>
    <w:basedOn w:val="1"/>
    <w:unhideWhenUsed/>
    <w:qFormat/>
    <w:uiPriority w:val="99"/>
    <w:pPr>
      <w:spacing w:after="120"/>
      <w:ind w:left="420" w:leftChars="200"/>
    </w:pPr>
    <w:rPr>
      <w:rFonts w:ascii="Calibri" w:hAnsi="Calibri" w:eastAsia="宋体" w:cs="Times New Roman"/>
      <w:kern w:val="0"/>
      <w:sz w:val="21"/>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7"/>
    <w:next w:val="7"/>
    <w:link w:val="21"/>
    <w:qFormat/>
    <w:uiPriority w:val="0"/>
    <w:rPr>
      <w:b/>
      <w:bCs/>
    </w:rPr>
  </w:style>
  <w:style w:type="paragraph" w:styleId="13">
    <w:name w:val="Body Text First Indent 2"/>
    <w:basedOn w:val="9"/>
    <w:unhideWhenUsed/>
    <w:qFormat/>
    <w:uiPriority w:val="99"/>
    <w:pPr>
      <w:ind w:firstLine="420"/>
    </w:pPr>
  </w:style>
  <w:style w:type="character" w:styleId="16">
    <w:name w:val="annotation reference"/>
    <w:basedOn w:val="15"/>
    <w:qFormat/>
    <w:uiPriority w:val="0"/>
    <w:rPr>
      <w:sz w:val="21"/>
      <w:szCs w:val="21"/>
    </w:rPr>
  </w:style>
  <w:style w:type="character" w:customStyle="1" w:styleId="17">
    <w:name w:val="UserStyle_1"/>
    <w:semiHidden/>
    <w:qFormat/>
    <w:uiPriority w:val="0"/>
    <w:rPr>
      <w:kern w:val="2"/>
      <w:sz w:val="21"/>
      <w:szCs w:val="24"/>
      <w:lang w:val="en-US" w:eastAsia="zh-CN" w:bidi="ar-SA"/>
    </w:rPr>
  </w:style>
  <w:style w:type="paragraph" w:customStyle="1" w:styleId="18">
    <w:name w:val="仿宋"/>
    <w:basedOn w:val="1"/>
    <w:qFormat/>
    <w:uiPriority w:val="0"/>
    <w:pPr>
      <w:spacing w:line="580" w:lineRule="exact"/>
    </w:pPr>
    <w:rPr>
      <w:rFonts w:ascii="Calibri" w:hAnsi="Calibri" w:eastAsia="仿宋" w:cs="Times New Roman"/>
      <w:sz w:val="32"/>
      <w:szCs w:val="22"/>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5"/>
    <w:link w:val="7"/>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6190</Words>
  <Characters>6533</Characters>
  <Lines>61</Lines>
  <Paragraphs>17</Paragraphs>
  <TotalTime>20</TotalTime>
  <ScaleCrop>false</ScaleCrop>
  <LinksUpToDate>false</LinksUpToDate>
  <CharactersWithSpaces>6602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2025-10-02T04:41:00Z</dcterms:created>
  <dc:creator>imcai</dc:creator>
  <cp:lastModifiedBy>greatwall</cp:lastModifiedBy>
  <dcterms:modified xsi:type="dcterms:W3CDTF">2026-01-27T17:09:48Z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eyJoZGlkIjoiZjJiYzRjZDg4ODIxMmZkMzVjYzYxNzIzMDEwYjJjY2IiLCJ1c2VySWQiOiIzMTczNjE3NjUifQ==</vt:lpwstr>
  </property>
  <property fmtid="{D5CDD505-2E9C-101B-9397-08002B2CF9AE}" pid="4" name="ICV">
    <vt:lpwstr>134EF2E2AD6B4574BE01711DCC1040E5_13</vt:lpwstr>
  </property>
</Properties>
</file>