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海南省长期护理保险</w:t>
      </w:r>
      <w:r>
        <w:rPr>
          <w:rFonts w:hint="eastAsia" w:ascii="方正小标宋_GBK" w:hAnsi="方正小标宋_GBK" w:eastAsia="方正小标宋_GBK" w:cs="方正小标宋_GBK"/>
          <w:color w:val="000000" w:themeColor="text1"/>
          <w:sz w:val="44"/>
          <w:szCs w:val="44"/>
          <w14:textFill>
            <w14:solidFill>
              <w14:schemeClr w14:val="tx1"/>
            </w14:solidFill>
          </w14:textFill>
        </w:rPr>
        <w:t>失能等级评估机构</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定点管理</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实施细则（</w:t>
      </w:r>
      <w:r>
        <w:rPr>
          <w:rFonts w:hint="eastAsia" w:ascii="方正小标宋_GBK" w:hAnsi="方正小标宋_GBK" w:eastAsia="方正小标宋_GBK" w:cs="方正小标宋_GBK"/>
          <w:color w:val="000000" w:themeColor="text1"/>
          <w:sz w:val="44"/>
          <w:szCs w:val="44"/>
          <w14:textFill>
            <w14:solidFill>
              <w14:schemeClr w14:val="tx1"/>
            </w14:solidFill>
          </w14:textFill>
        </w:rPr>
        <w:t>试行</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第一</w:t>
      </w:r>
      <w:r>
        <w:rPr>
          <w:rFonts w:hint="eastAsia" w:ascii="黑体" w:hAnsi="黑体" w:eastAsia="黑体" w:cs="黑体"/>
          <w:b w:val="0"/>
          <w:bCs w:val="0"/>
          <w:color w:val="000000" w:themeColor="text1"/>
          <w:sz w:val="32"/>
          <w:szCs w:val="32"/>
          <w:lang w:eastAsia="zh-CN"/>
          <w14:textFill>
            <w14:solidFill>
              <w14:schemeClr w14:val="tx1"/>
            </w14:solidFill>
          </w14:textFill>
        </w:rPr>
        <w:t xml:space="preserve">章  </w:t>
      </w:r>
      <w:r>
        <w:rPr>
          <w:rFonts w:hint="eastAsia" w:ascii="黑体" w:hAnsi="黑体" w:eastAsia="黑体" w:cs="黑体"/>
          <w:b w:val="0"/>
          <w:bCs w:val="0"/>
          <w:color w:val="000000" w:themeColor="text1"/>
          <w:sz w:val="32"/>
          <w:szCs w:val="32"/>
          <w14:textFill>
            <w14:solidFill>
              <w14:schemeClr w14:val="tx1"/>
            </w14:solidFill>
          </w14:textFill>
        </w:rPr>
        <w:t>总</w:t>
      </w: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w:t>
      </w:r>
      <w:r>
        <w:rPr>
          <w:rFonts w:hint="eastAsia" w:ascii="黑体" w:hAnsi="黑体" w:eastAsia="黑体" w:cs="黑体"/>
          <w:b w:val="0"/>
          <w:bCs w:val="0"/>
          <w:color w:val="000000" w:themeColor="text1"/>
          <w:sz w:val="32"/>
          <w:szCs w:val="32"/>
          <w14:textFill>
            <w14:solidFill>
              <w14:schemeClr w14:val="tx1"/>
            </w14:solidFill>
          </w14:textFill>
        </w:rPr>
        <w:t>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为加强</w:t>
      </w:r>
      <w:r>
        <w:rPr>
          <w:rFonts w:hint="eastAsia" w:ascii="仿宋_GB2312" w:hAnsi="仿宋_GB2312" w:eastAsia="仿宋_GB2312" w:cs="仿宋_GB2312"/>
          <w:color w:val="000000" w:themeColor="text1"/>
          <w:sz w:val="32"/>
          <w:szCs w:val="32"/>
          <w:lang w:eastAsia="zh-CN"/>
          <w14:textFill>
            <w14:solidFill>
              <w14:schemeClr w14:val="tx1"/>
            </w14:solidFill>
          </w14:textFill>
        </w:rPr>
        <w:t>长期护理保险（以下简称“长护险”）</w:t>
      </w:r>
      <w:r>
        <w:rPr>
          <w:rFonts w:hint="eastAsia" w:ascii="仿宋_GB2312" w:hAnsi="仿宋_GB2312" w:eastAsia="仿宋_GB2312" w:cs="仿宋_GB2312"/>
          <w:color w:val="000000" w:themeColor="text1"/>
          <w:sz w:val="32"/>
          <w:szCs w:val="32"/>
          <w14:textFill>
            <w14:solidFill>
              <w14:schemeClr w14:val="tx1"/>
            </w14:solidFill>
          </w14:textFill>
        </w:rPr>
        <w:t>失能等级评估机构定点管理，保障参保人合法权益，根据《国家</w:t>
      </w:r>
      <w:r>
        <w:rPr>
          <w:rFonts w:hint="eastAsia" w:ascii="仿宋_GB2312" w:hAnsi="仿宋_GB2312" w:eastAsia="仿宋_GB2312" w:cs="仿宋_GB2312"/>
          <w:color w:val="000000" w:themeColor="text1"/>
          <w:sz w:val="32"/>
          <w:szCs w:val="32"/>
          <w:lang w:eastAsia="zh-CN"/>
          <w14:textFill>
            <w14:solidFill>
              <w14:schemeClr w14:val="tx1"/>
            </w14:solidFill>
          </w14:textFill>
        </w:rPr>
        <w:t>医疗保障局</w:t>
      </w:r>
      <w:r>
        <w:rPr>
          <w:rFonts w:hint="eastAsia" w:ascii="仿宋_GB2312" w:hAnsi="仿宋_GB2312" w:eastAsia="仿宋_GB2312" w:cs="仿宋_GB2312"/>
          <w:color w:val="000000" w:themeColor="text1"/>
          <w:sz w:val="32"/>
          <w:szCs w:val="32"/>
          <w14:textFill>
            <w14:solidFill>
              <w14:schemeClr w14:val="tx1"/>
            </w14:solidFill>
          </w14:textFill>
        </w:rPr>
        <w:t>关于</w:t>
      </w:r>
      <w:r>
        <w:rPr>
          <w:rFonts w:hint="eastAsia" w:ascii="仿宋_GB2312" w:hAnsi="仿宋_GB2312" w:eastAsia="仿宋_GB2312" w:cs="仿宋_GB2312"/>
          <w:color w:val="000000" w:themeColor="text1"/>
          <w:sz w:val="32"/>
          <w:szCs w:val="32"/>
          <w:lang w:eastAsia="zh-CN"/>
          <w14:textFill>
            <w14:solidFill>
              <w14:schemeClr w14:val="tx1"/>
            </w14:solidFill>
          </w14:textFill>
        </w:rPr>
        <w:t>印发〈长护险失能等级评估机构定点管理办法（试行）〉的通知</w:t>
      </w:r>
      <w:r>
        <w:rPr>
          <w:rFonts w:hint="eastAsia" w:ascii="仿宋_GB2312" w:hAnsi="仿宋_GB2312" w:eastAsia="仿宋_GB2312" w:cs="仿宋_GB2312"/>
          <w:color w:val="000000" w:themeColor="text1"/>
          <w:sz w:val="32"/>
          <w:szCs w:val="32"/>
          <w14:textFill>
            <w14:solidFill>
              <w14:schemeClr w14:val="tx1"/>
            </w14:solidFill>
          </w14:textFill>
        </w:rPr>
        <w:t>》(医保发〔202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号)有关规定，制定本</w:t>
      </w:r>
      <w:r>
        <w:rPr>
          <w:rFonts w:hint="eastAsia" w:ascii="仿宋_GB2312" w:hAnsi="仿宋_GB2312" w:eastAsia="仿宋_GB2312" w:cs="仿宋_GB2312"/>
          <w:color w:val="000000" w:themeColor="text1"/>
          <w:sz w:val="32"/>
          <w:szCs w:val="32"/>
          <w:lang w:eastAsia="zh-CN"/>
          <w14:textFill>
            <w14:solidFill>
              <w14:schemeClr w14:val="tx1"/>
            </w14:solidFill>
          </w14:textFill>
        </w:rPr>
        <w:t>细则</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本</w:t>
      </w:r>
      <w:r>
        <w:rPr>
          <w:rFonts w:hint="eastAsia" w:ascii="仿宋_GB2312" w:hAnsi="仿宋_GB2312" w:eastAsia="仿宋_GB2312" w:cs="仿宋_GB2312"/>
          <w:color w:val="000000" w:themeColor="text1"/>
          <w:sz w:val="32"/>
          <w:szCs w:val="32"/>
          <w:lang w:eastAsia="zh-CN"/>
          <w14:textFill>
            <w14:solidFill>
              <w14:schemeClr w14:val="tx1"/>
            </w14:solidFill>
          </w14:textFill>
        </w:rPr>
        <w:t>细则</w:t>
      </w:r>
      <w:r>
        <w:rPr>
          <w:rFonts w:hint="eastAsia" w:ascii="仿宋_GB2312" w:hAnsi="仿宋_GB2312" w:eastAsia="仿宋_GB2312" w:cs="仿宋_GB2312"/>
          <w:color w:val="000000" w:themeColor="text1"/>
          <w:sz w:val="32"/>
          <w:szCs w:val="32"/>
          <w14:textFill>
            <w14:solidFill>
              <w14:schemeClr w14:val="tx1"/>
            </w14:solidFill>
          </w14:textFill>
        </w:rPr>
        <w:t>适用于</w:t>
      </w:r>
      <w:r>
        <w:rPr>
          <w:rFonts w:hint="eastAsia" w:ascii="仿宋_GB2312" w:hAnsi="仿宋_GB2312" w:eastAsia="仿宋_GB2312" w:cs="仿宋_GB2312"/>
          <w:color w:val="000000" w:themeColor="text1"/>
          <w:sz w:val="32"/>
          <w:szCs w:val="32"/>
          <w:lang w:eastAsia="zh-CN"/>
          <w14:textFill>
            <w14:solidFill>
              <w14:schemeClr w14:val="tx1"/>
            </w14:solidFill>
          </w14:textFill>
        </w:rPr>
        <w:t>全省长护险</w:t>
      </w:r>
      <w:r>
        <w:rPr>
          <w:rFonts w:hint="eastAsia" w:ascii="仿宋_GB2312" w:hAnsi="仿宋_GB2312" w:eastAsia="仿宋_GB2312" w:cs="仿宋_GB2312"/>
          <w:color w:val="000000" w:themeColor="text1"/>
          <w:sz w:val="32"/>
          <w:szCs w:val="32"/>
          <w14:textFill>
            <w14:solidFill>
              <w14:schemeClr w14:val="tx1"/>
            </w14:solidFill>
          </w14:textFill>
        </w:rPr>
        <w:t>失能等级评估机构定点管理工作。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第三条</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坚持以人民为中心，遵循公平公正、规范透明、权责明晰、动态平衡的原则，不断提升定点管理效能，促进评估行业有序发展，为参保人提供客观公正的评估服务。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第四条</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省医保行政部门</w:t>
      </w:r>
      <w:r>
        <w:rPr>
          <w:rFonts w:hint="eastAsia" w:ascii="仿宋_GB2312" w:hAnsi="仿宋_GB2312" w:eastAsia="仿宋_GB2312" w:cs="仿宋_GB2312"/>
          <w:color w:val="000000" w:themeColor="text1"/>
          <w:sz w:val="32"/>
          <w:szCs w:val="32"/>
          <w14:textFill>
            <w14:solidFill>
              <w14:schemeClr w14:val="tx1"/>
            </w14:solidFill>
          </w14:textFill>
        </w:rPr>
        <w:t>负责制定评估机构定点管理有关规定</w:t>
      </w:r>
      <w:r>
        <w:rPr>
          <w:rFonts w:hint="eastAsia" w:ascii="仿宋_GB2312" w:hAnsi="仿宋_GB2312" w:eastAsia="仿宋_GB2312" w:cs="仿宋_GB2312"/>
          <w:color w:val="000000" w:themeColor="text1"/>
          <w:sz w:val="32"/>
          <w:szCs w:val="32"/>
          <w:lang w:eastAsia="zh-CN"/>
          <w14:textFill>
            <w14:solidFill>
              <w14:schemeClr w14:val="tx1"/>
            </w14:solidFill>
          </w14:textFill>
        </w:rPr>
        <w:t>，合理布局并确定定点评估机构的数量，</w:t>
      </w:r>
      <w:r>
        <w:rPr>
          <w:rFonts w:hint="eastAsia" w:ascii="仿宋_GB2312" w:hAnsi="仿宋_GB2312" w:eastAsia="仿宋_GB2312" w:cs="仿宋_GB2312"/>
          <w:color w:val="000000" w:themeColor="text1"/>
          <w:sz w:val="32"/>
          <w:szCs w:val="32"/>
          <w14:textFill>
            <w14:solidFill>
              <w14:schemeClr w14:val="tx1"/>
            </w14:solidFill>
          </w14:textFill>
        </w:rPr>
        <w:t>依据本</w:t>
      </w:r>
      <w:r>
        <w:rPr>
          <w:rFonts w:hint="eastAsia" w:ascii="仿宋_GB2312" w:hAnsi="仿宋_GB2312" w:eastAsia="仿宋_GB2312" w:cs="仿宋_GB2312"/>
          <w:color w:val="000000" w:themeColor="text1"/>
          <w:sz w:val="32"/>
          <w:szCs w:val="32"/>
          <w:lang w:eastAsia="zh-CN"/>
          <w14:textFill>
            <w14:solidFill>
              <w14:schemeClr w14:val="tx1"/>
            </w14:solidFill>
          </w14:textFill>
        </w:rPr>
        <w:t>细则</w:t>
      </w:r>
      <w:r>
        <w:rPr>
          <w:rFonts w:hint="eastAsia" w:ascii="仿宋_GB2312" w:hAnsi="仿宋_GB2312" w:eastAsia="仿宋_GB2312" w:cs="仿宋_GB2312"/>
          <w:color w:val="000000" w:themeColor="text1"/>
          <w:sz w:val="32"/>
          <w:szCs w:val="32"/>
          <w14:textFill>
            <w14:solidFill>
              <w14:schemeClr w14:val="tx1"/>
            </w14:solidFill>
          </w14:textFill>
        </w:rPr>
        <w:t>拟定评估服务协议范本</w:t>
      </w:r>
      <w:r>
        <w:rPr>
          <w:rFonts w:hint="eastAsia" w:ascii="仿宋_GB2312" w:hAnsi="仿宋_GB2312" w:eastAsia="仿宋_GB2312" w:cs="仿宋_GB2312"/>
          <w:color w:val="000000" w:themeColor="text1"/>
          <w:sz w:val="32"/>
          <w:szCs w:val="32"/>
          <w:lang w:eastAsia="zh-CN"/>
          <w14:textFill>
            <w14:solidFill>
              <w14:schemeClr w14:val="tx1"/>
            </w14:solidFill>
          </w14:textFill>
        </w:rPr>
        <w:t>，监督指导省医保经办机构做好评估机构的</w:t>
      </w:r>
      <w:r>
        <w:rPr>
          <w:rFonts w:hint="eastAsia" w:ascii="仿宋_GB2312" w:hAnsi="仿宋_GB2312" w:eastAsia="仿宋_GB2312" w:cs="仿宋_GB2312"/>
          <w:color w:val="000000" w:themeColor="text1"/>
          <w:sz w:val="32"/>
          <w:szCs w:val="32"/>
          <w14:textFill>
            <w14:solidFill>
              <w14:schemeClr w14:val="tx1"/>
            </w14:solidFill>
          </w14:textFill>
        </w:rPr>
        <w:t>申请受理、审核确定、协议订立、协议履行、协议解除等</w:t>
      </w:r>
      <w:r>
        <w:rPr>
          <w:rFonts w:hint="eastAsia" w:ascii="仿宋_GB2312" w:hAnsi="仿宋_GB2312" w:eastAsia="仿宋_GB2312" w:cs="仿宋_GB2312"/>
          <w:color w:val="000000" w:themeColor="text1"/>
          <w:sz w:val="32"/>
          <w:szCs w:val="32"/>
          <w:lang w:eastAsia="zh-CN"/>
          <w14:textFill>
            <w14:solidFill>
              <w14:schemeClr w14:val="tx1"/>
            </w14:solidFill>
          </w14:textFill>
        </w:rPr>
        <w:t>工作</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省医保</w:t>
      </w:r>
      <w:r>
        <w:rPr>
          <w:rFonts w:hint="eastAsia" w:ascii="仿宋_GB2312" w:hAnsi="仿宋_GB2312" w:eastAsia="仿宋_GB2312" w:cs="仿宋_GB2312"/>
          <w:color w:val="000000" w:themeColor="text1"/>
          <w:sz w:val="32"/>
          <w:szCs w:val="32"/>
          <w14:textFill>
            <w14:solidFill>
              <w14:schemeClr w14:val="tx1"/>
            </w14:solidFill>
          </w14:textFill>
        </w:rPr>
        <w:t>经办机构</w:t>
      </w:r>
      <w:r>
        <w:rPr>
          <w:rFonts w:hint="eastAsia" w:ascii="仿宋_GB2312" w:hAnsi="仿宋_GB2312" w:eastAsia="仿宋_GB2312" w:cs="仿宋_GB2312"/>
          <w:color w:val="000000" w:themeColor="text1"/>
          <w:sz w:val="32"/>
          <w:szCs w:val="32"/>
          <w:lang w:eastAsia="zh-CN"/>
          <w14:textFill>
            <w14:solidFill>
              <w14:schemeClr w14:val="tx1"/>
            </w14:solidFill>
          </w14:textFill>
        </w:rPr>
        <w:t>负责定点评估机构的遴选工作，组织实施评估机构的</w:t>
      </w:r>
      <w:r>
        <w:rPr>
          <w:rFonts w:hint="eastAsia" w:ascii="仿宋_GB2312" w:hAnsi="仿宋_GB2312" w:eastAsia="仿宋_GB2312" w:cs="仿宋_GB2312"/>
          <w:color w:val="000000" w:themeColor="text1"/>
          <w:sz w:val="32"/>
          <w:szCs w:val="32"/>
          <w14:textFill>
            <w14:solidFill>
              <w14:schemeClr w14:val="tx1"/>
            </w14:solidFill>
          </w14:textFill>
        </w:rPr>
        <w:t>申请受理、审核确定、协议订立、协议履行、协议解除等</w:t>
      </w:r>
      <w:r>
        <w:rPr>
          <w:rFonts w:hint="eastAsia" w:ascii="仿宋_GB2312" w:hAnsi="仿宋_GB2312" w:eastAsia="仿宋_GB2312" w:cs="仿宋_GB2312"/>
          <w:color w:val="000000" w:themeColor="text1"/>
          <w:sz w:val="32"/>
          <w:szCs w:val="32"/>
          <w:lang w:eastAsia="zh-CN"/>
          <w14:textFill>
            <w14:solidFill>
              <w14:schemeClr w14:val="tx1"/>
            </w14:solidFill>
          </w14:textFill>
        </w:rPr>
        <w:t>工作；</w:t>
      </w:r>
      <w:r>
        <w:rPr>
          <w:rFonts w:hint="eastAsia" w:ascii="仿宋_GB2312" w:hAnsi="仿宋_GB2312" w:eastAsia="仿宋_GB2312" w:cs="仿宋_GB2312"/>
          <w:color w:val="000000" w:themeColor="text1"/>
          <w:sz w:val="32"/>
          <w:szCs w:val="32"/>
          <w14:textFill>
            <w14:solidFill>
              <w14:schemeClr w14:val="tx1"/>
            </w14:solidFill>
          </w14:textFill>
        </w:rPr>
        <w:t>指导</w:t>
      </w:r>
      <w:r>
        <w:rPr>
          <w:rFonts w:hint="eastAsia" w:ascii="仿宋_GB2312" w:hAnsi="仿宋_GB2312" w:eastAsia="仿宋_GB2312" w:cs="仿宋_GB2312"/>
          <w:color w:val="000000" w:themeColor="text1"/>
          <w:sz w:val="32"/>
          <w:szCs w:val="32"/>
          <w:lang w:eastAsia="zh-CN"/>
          <w14:textFill>
            <w14:solidFill>
              <w14:schemeClr w14:val="tx1"/>
            </w14:solidFill>
          </w14:textFill>
        </w:rPr>
        <w:t>各市县</w:t>
      </w:r>
      <w:r>
        <w:rPr>
          <w:rFonts w:hint="eastAsia" w:ascii="仿宋_GB2312" w:hAnsi="仿宋_GB2312" w:eastAsia="仿宋_GB2312" w:cs="仿宋_GB2312"/>
          <w:color w:val="000000" w:themeColor="text1"/>
          <w:sz w:val="32"/>
          <w:szCs w:val="32"/>
          <w14:textFill>
            <w14:solidFill>
              <w14:schemeClr w14:val="tx1"/>
            </w14:solidFill>
          </w14:textFill>
        </w:rPr>
        <w:t>做好评估机构定点管理服务工作。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市县医保行政部门负责对所在地医保经办机构、定点评估机构</w:t>
      </w:r>
      <w:r>
        <w:rPr>
          <w:rFonts w:hint="eastAsia" w:ascii="仿宋_GB2312" w:hAnsi="仿宋_GB2312" w:eastAsia="仿宋_GB2312" w:cs="仿宋_GB2312"/>
          <w:color w:val="000000" w:themeColor="text1"/>
          <w:sz w:val="32"/>
          <w:szCs w:val="32"/>
          <w14:textFill>
            <w14:solidFill>
              <w14:schemeClr w14:val="tx1"/>
            </w14:solidFill>
          </w14:textFill>
        </w:rPr>
        <w:t>在</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评估开展</w:t>
      </w:r>
      <w:r>
        <w:rPr>
          <w:rFonts w:hint="eastAsia" w:ascii="仿宋_GB2312" w:hAnsi="仿宋_GB2312" w:eastAsia="仿宋_GB2312" w:cs="仿宋_GB2312"/>
          <w:color w:val="000000" w:themeColor="text1"/>
          <w:sz w:val="32"/>
          <w:szCs w:val="32"/>
          <w14:textFill>
            <w14:solidFill>
              <w14:schemeClr w14:val="tx1"/>
            </w14:solidFill>
          </w14:textFill>
        </w:rPr>
        <w:t>、协议履行等环节</w:t>
      </w:r>
      <w:r>
        <w:rPr>
          <w:rFonts w:hint="eastAsia" w:ascii="仿宋_GB2312" w:hAnsi="仿宋_GB2312" w:eastAsia="仿宋_GB2312" w:cs="仿宋_GB2312"/>
          <w:color w:val="000000" w:themeColor="text1"/>
          <w:sz w:val="32"/>
          <w:szCs w:val="32"/>
          <w:lang w:eastAsia="zh-CN"/>
          <w14:textFill>
            <w14:solidFill>
              <w14:schemeClr w14:val="tx1"/>
            </w14:solidFill>
          </w14:textFill>
        </w:rPr>
        <w:t>的监督。市县医保经办机构具体负责失能等级评估的组织实施，依评估服务协议对失能等级评估进行监督</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第二</w:t>
      </w:r>
      <w:r>
        <w:rPr>
          <w:rFonts w:hint="eastAsia" w:ascii="黑体" w:hAnsi="黑体" w:eastAsia="黑体" w:cs="黑体"/>
          <w:b w:val="0"/>
          <w:bCs w:val="0"/>
          <w:color w:val="000000" w:themeColor="text1"/>
          <w:sz w:val="32"/>
          <w:szCs w:val="32"/>
          <w:lang w:eastAsia="zh-CN"/>
          <w14:textFill>
            <w14:solidFill>
              <w14:schemeClr w14:val="tx1"/>
            </w14:solidFill>
          </w14:textFill>
        </w:rPr>
        <w:t xml:space="preserve">章  </w:t>
      </w:r>
      <w:r>
        <w:rPr>
          <w:rFonts w:hint="eastAsia" w:ascii="黑体" w:hAnsi="黑体" w:eastAsia="黑体" w:cs="黑体"/>
          <w:b w:val="0"/>
          <w:bCs w:val="0"/>
          <w:color w:val="000000" w:themeColor="text1"/>
          <w:sz w:val="32"/>
          <w:szCs w:val="32"/>
          <w14:textFill>
            <w14:solidFill>
              <w14:schemeClr w14:val="tx1"/>
            </w14:solidFill>
          </w14:textFill>
        </w:rPr>
        <w:t>定点评估机构确定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ascii="黑体" w:hAnsi="黑体" w:eastAsia="黑体" w:cs="黑体"/>
          <w:b w:val="0"/>
          <w:bCs w:val="0"/>
          <w:snapToGrid w:val="0"/>
          <w:color w:val="000000" w:themeColor="text1"/>
          <w:spacing w:val="1"/>
          <w:kern w:val="0"/>
          <w:sz w:val="31"/>
          <w:szCs w:val="31"/>
          <w:lang w:val="en-US" w:eastAsia="en-US" w:bidi="ar-SA"/>
          <w14:textFill>
            <w14:solidFill>
              <w14:schemeClr w14:val="tx1"/>
            </w14:solidFill>
          </w14:textFill>
        </w:rPr>
        <w:t>第</w:t>
      </w:r>
      <w:r>
        <w:rPr>
          <w:rFonts w:hint="eastAsia" w:ascii="黑体" w:hAnsi="黑体" w:eastAsia="黑体" w:cs="黑体"/>
          <w:b w:val="0"/>
          <w:bCs w:val="0"/>
          <w:snapToGrid w:val="0"/>
          <w:color w:val="000000" w:themeColor="text1"/>
          <w:spacing w:val="1"/>
          <w:kern w:val="0"/>
          <w:sz w:val="31"/>
          <w:szCs w:val="31"/>
          <w:lang w:val="en-US" w:eastAsia="zh-CN" w:bidi="ar-SA"/>
          <w14:textFill>
            <w14:solidFill>
              <w14:schemeClr w14:val="tx1"/>
            </w14:solidFill>
          </w14:textFill>
        </w:rPr>
        <w:t>五</w:t>
      </w:r>
      <w:r>
        <w:rPr>
          <w:rFonts w:ascii="黑体" w:hAnsi="黑体" w:eastAsia="黑体" w:cs="黑体"/>
          <w:b w:val="0"/>
          <w:bCs w:val="0"/>
          <w:snapToGrid w:val="0"/>
          <w:color w:val="000000" w:themeColor="text1"/>
          <w:spacing w:val="1"/>
          <w:kern w:val="0"/>
          <w:sz w:val="31"/>
          <w:szCs w:val="31"/>
          <w:lang w:val="en-US" w:eastAsia="en-US" w:bidi="ar-SA"/>
          <w14:textFill>
            <w14:solidFill>
              <w14:schemeClr w14:val="tx1"/>
            </w14:solidFill>
          </w14:textFill>
        </w:rPr>
        <w:t>条</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定点评估机构的遴选工作由省医保经办机构按需发布遴选公告，符合条件的评估机构可向省医保经办机构提交申请；省医保经办机构负责对申请机构所提交的申请材料进行审核、组织实地查验，符合条件的纳入定点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六</w:t>
      </w:r>
      <w:r>
        <w:rPr>
          <w:rFonts w:hint="eastAsia" w:ascii="黑体" w:hAnsi="黑体" w:eastAsia="黑体" w:cs="黑体"/>
          <w:color w:val="000000" w:themeColor="text1"/>
          <w:sz w:val="32"/>
          <w:szCs w:val="32"/>
          <w14:textFill>
            <w14:solidFill>
              <w14:schemeClr w14:val="tx1"/>
            </w14:solidFill>
          </w14:textFill>
        </w:rPr>
        <w:t>条</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申请成为定点评估机构，应当同时具备以下基本条件：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在海南省内依法登记的社会服务机构或企事业单位，应正式运营不低于3个月（建制首年可适当放宽要求）</w:t>
      </w:r>
      <w:r>
        <w:rPr>
          <w:rFonts w:hint="eastAsia" w:ascii="仿宋_GB2312" w:hAnsi="仿宋_GB2312" w:eastAsia="仿宋_GB2312" w:cs="仿宋_GB2312"/>
          <w:color w:val="000000" w:themeColor="text1"/>
          <w:sz w:val="32"/>
          <w:szCs w:val="32"/>
          <w14:textFill>
            <w14:solidFill>
              <w14:schemeClr w14:val="tx1"/>
            </w14:solidFill>
          </w14:textFill>
        </w:rPr>
        <w:t>，具有独立法人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资格，</w:t>
      </w:r>
      <w:r>
        <w:rPr>
          <w:rFonts w:hint="eastAsia" w:ascii="仿宋_GB2312" w:hAnsi="仿宋_GB2312" w:eastAsia="仿宋_GB2312" w:cs="仿宋_GB2312"/>
          <w:color w:val="000000" w:themeColor="text1"/>
          <w:sz w:val="32"/>
          <w:szCs w:val="32"/>
          <w14:textFill>
            <w14:solidFill>
              <w14:schemeClr w14:val="tx1"/>
            </w14:solidFill>
          </w14:textFill>
        </w:rPr>
        <w:t>能够开展失能等级评估工作；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具备与评估工作相适应的专业化人员队伍</w:t>
      </w:r>
      <w:r>
        <w:rPr>
          <w:rFonts w:hint="eastAsia" w:ascii="仿宋_GB2312" w:hAnsi="仿宋_GB2312" w:eastAsia="仿宋_GB2312" w:cs="仿宋_GB2312"/>
          <w:color w:val="000000" w:themeColor="text1"/>
          <w:sz w:val="32"/>
          <w:szCs w:val="32"/>
          <w:lang w:eastAsia="zh-CN"/>
          <w14:textFill>
            <w14:solidFill>
              <w14:schemeClr w14:val="tx1"/>
            </w14:solidFill>
          </w14:textFill>
        </w:rPr>
        <w:t>。其中，专职评估员、评估专家分别不少于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2人、4人；专职管理人员不少于1人，信息技术管理维护人员不少于1人。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具有固定的办公场所，配备符合评估服务协议要求的软、硬件设备和相应管理维护人员；</w:t>
      </w:r>
    </w:p>
    <w:p>
      <w:pPr>
        <w:pStyle w:val="5"/>
        <w:keepNext w:val="0"/>
        <w:keepLines w:val="0"/>
        <w:pageBreakBefore w:val="0"/>
        <w:widowControl w:val="0"/>
        <w:kinsoku/>
        <w:wordWrap/>
        <w:overflowPunct/>
        <w:topLinePunct w:val="0"/>
        <w:autoSpaceDE/>
        <w:autoSpaceDN/>
        <w:bidi w:val="0"/>
        <w:adjustRightInd w:val="0"/>
        <w:snapToGrid w:val="0"/>
        <w:spacing w:line="560" w:lineRule="exact"/>
        <w:ind w:left="11" w:firstLine="655"/>
        <w:jc w:val="both"/>
        <w:textAlignment w:val="baseline"/>
        <w:rPr>
          <w:rFonts w:hint="eastAsia" w:ascii="仿宋_GB2312" w:hAnsi="仿宋_GB2312" w:eastAsia="仿宋_GB2312" w:cs="仿宋_GB2312"/>
          <w:color w:val="000000" w:themeColor="text1"/>
          <w:spacing w:val="5"/>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5"/>
          <w:sz w:val="32"/>
          <w:szCs w:val="32"/>
          <w:lang w:eastAsia="zh-CN"/>
          <w14:textFill>
            <w14:solidFill>
              <w14:schemeClr w14:val="tx1"/>
            </w14:solidFill>
          </w14:textFill>
        </w:rPr>
        <w:t>具备使用全国统一的医保信息平台、与医保信息平台长护险功能模块按接口标准进行对接等条件</w:t>
      </w:r>
      <w:r>
        <w:rPr>
          <w:rFonts w:hint="eastAsia" w:ascii="仿宋_GB2312" w:hAnsi="仿宋_GB2312" w:eastAsia="仿宋_GB2312" w:cs="仿宋_GB2312"/>
          <w:color w:val="000000" w:themeColor="text1"/>
          <w:spacing w:val="5"/>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五</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具有符合评估服务协议要求的服务管理、财务管理、信息统计、内控管理、人员管理、档案管理等制度；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themeColor="text1"/>
          <w:spacing w:val="5"/>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六</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符合法律法规</w:t>
      </w:r>
      <w:r>
        <w:rPr>
          <w:rFonts w:hint="eastAsia" w:ascii="仿宋_GB2312" w:hAnsi="仿宋_GB2312" w:eastAsia="仿宋_GB2312" w:cs="仿宋_GB2312"/>
          <w:color w:val="000000" w:themeColor="text1"/>
          <w:sz w:val="32"/>
          <w:szCs w:val="32"/>
          <w:lang w:eastAsia="zh-CN"/>
          <w14:textFill>
            <w14:solidFill>
              <w14:schemeClr w14:val="tx1"/>
            </w14:solidFill>
          </w14:textFill>
        </w:rPr>
        <w:t>、规章</w:t>
      </w:r>
      <w:r>
        <w:rPr>
          <w:rFonts w:hint="eastAsia" w:ascii="仿宋_GB2312" w:hAnsi="仿宋_GB2312" w:eastAsia="仿宋_GB2312" w:cs="仿宋_GB2312"/>
          <w:color w:val="000000" w:themeColor="text1"/>
          <w:sz w:val="32"/>
          <w:szCs w:val="32"/>
          <w14:textFill>
            <w14:solidFill>
              <w14:schemeClr w14:val="tx1"/>
            </w14:solidFill>
          </w14:textFill>
        </w:rPr>
        <w:t>和</w:t>
      </w:r>
      <w:r>
        <w:rPr>
          <w:rFonts w:hint="eastAsia" w:ascii="仿宋_GB2312" w:hAnsi="仿宋_GB2312" w:eastAsia="仿宋_GB2312" w:cs="仿宋_GB2312"/>
          <w:snapToGrid w:val="0"/>
          <w:color w:val="000000" w:themeColor="text1"/>
          <w:spacing w:val="5"/>
          <w:kern w:val="0"/>
          <w:sz w:val="32"/>
          <w:szCs w:val="32"/>
          <w:lang w:val="en-US" w:eastAsia="zh-CN" w:bidi="ar-SA"/>
          <w14:textFill>
            <w14:solidFill>
              <w14:schemeClr w14:val="tx1"/>
            </w14:solidFill>
          </w14:textFill>
        </w:rPr>
        <w:t>省级及以上医疗保障行政部门规定的其他条件。</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644" w:firstLineChars="200"/>
        <w:textAlignment w:val="baseline"/>
        <w:rPr>
          <w:rFonts w:hint="eastAsia" w:ascii="仿宋_GB2312" w:hAnsi="仿宋_GB2312" w:eastAsia="仿宋_GB2312" w:cs="仿宋_GB2312"/>
          <w:snapToGrid w:val="0"/>
          <w:color w:val="000000" w:themeColor="text1"/>
          <w:spacing w:val="5"/>
          <w:kern w:val="0"/>
          <w:sz w:val="32"/>
          <w:szCs w:val="32"/>
          <w:lang w:val="en-US" w:eastAsia="zh-CN" w:bidi="ar-SA"/>
          <w14:textFill>
            <w14:solidFill>
              <w14:schemeClr w14:val="tx1"/>
            </w14:solidFill>
          </w14:textFill>
        </w:rPr>
      </w:pPr>
      <w:r>
        <w:rPr>
          <w:rFonts w:ascii="黑体" w:hAnsi="黑体" w:eastAsia="黑体" w:cs="黑体"/>
          <w:b w:val="0"/>
          <w:bCs w:val="0"/>
          <w:snapToGrid w:val="0"/>
          <w:color w:val="000000" w:themeColor="text1"/>
          <w:spacing w:val="1"/>
          <w:kern w:val="0"/>
          <w:sz w:val="32"/>
          <w:szCs w:val="32"/>
          <w:lang w:val="en-US" w:eastAsia="en-US" w:bidi="ar-SA"/>
          <w14:textFill>
            <w14:solidFill>
              <w14:schemeClr w14:val="tx1"/>
            </w14:solidFill>
          </w14:textFill>
        </w:rPr>
        <w:t>第</w:t>
      </w:r>
      <w:r>
        <w:rPr>
          <w:rFonts w:hint="eastAsia" w:ascii="黑体" w:hAnsi="黑体" w:eastAsia="黑体" w:cs="黑体"/>
          <w:b w:val="0"/>
          <w:bCs w:val="0"/>
          <w:snapToGrid w:val="0"/>
          <w:color w:val="000000" w:themeColor="text1"/>
          <w:spacing w:val="1"/>
          <w:kern w:val="0"/>
          <w:sz w:val="32"/>
          <w:szCs w:val="32"/>
          <w:lang w:val="en-US" w:eastAsia="zh-CN" w:bidi="ar-SA"/>
          <w14:textFill>
            <w14:solidFill>
              <w14:schemeClr w14:val="tx1"/>
            </w14:solidFill>
          </w14:textFill>
        </w:rPr>
        <w:t>七</w:t>
      </w:r>
      <w:r>
        <w:rPr>
          <w:rFonts w:ascii="黑体" w:hAnsi="黑体" w:eastAsia="黑体" w:cs="黑体"/>
          <w:b w:val="0"/>
          <w:bCs w:val="0"/>
          <w:snapToGrid w:val="0"/>
          <w:color w:val="000000" w:themeColor="text1"/>
          <w:spacing w:val="1"/>
          <w:kern w:val="0"/>
          <w:sz w:val="32"/>
          <w:szCs w:val="32"/>
          <w:lang w:val="en-US" w:eastAsia="en-US" w:bidi="ar-SA"/>
          <w14:textFill>
            <w14:solidFill>
              <w14:schemeClr w14:val="tx1"/>
            </w14:solidFill>
          </w14:textFill>
        </w:rPr>
        <w:t>条</w:t>
      </w: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评估机构向省医保经办机构提出定点申请，填报《海南省长期护理保险失能等级评估机构申请表》（见附件），</w:t>
      </w:r>
      <w:r>
        <w:rPr>
          <w:rFonts w:hint="eastAsia" w:ascii="仿宋_GB2312" w:hAnsi="仿宋_GB2312" w:eastAsia="仿宋_GB2312" w:cs="仿宋_GB2312"/>
          <w:snapToGrid w:val="0"/>
          <w:color w:val="000000" w:themeColor="text1"/>
          <w:spacing w:val="5"/>
          <w:kern w:val="0"/>
          <w:sz w:val="32"/>
          <w:szCs w:val="32"/>
          <w:lang w:val="en-US" w:eastAsia="zh-CN" w:bidi="ar-SA"/>
          <w14:textFill>
            <w14:solidFill>
              <w14:schemeClr w14:val="tx1"/>
            </w14:solidFill>
          </w14:textFill>
        </w:rPr>
        <w:t>并如实提交以下资料：</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660" w:firstLineChars="200"/>
        <w:textAlignment w:val="baseline"/>
        <w:rPr>
          <w:rFonts w:hint="eastAsia" w:ascii="仿宋_GB2312" w:hAnsi="仿宋_GB2312" w:eastAsia="仿宋_GB2312" w:cs="仿宋_GB2312"/>
          <w:snapToGrid w:val="0"/>
          <w:color w:val="000000" w:themeColor="text1"/>
          <w:spacing w:val="5"/>
          <w:kern w:val="0"/>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5"/>
          <w:kern w:val="0"/>
          <w:sz w:val="32"/>
          <w:szCs w:val="32"/>
          <w:lang w:val="en-US" w:eastAsia="zh-CN" w:bidi="ar-SA"/>
          <w14:textFill>
            <w14:solidFill>
              <w14:schemeClr w14:val="tx1"/>
            </w14:solidFill>
          </w14:textFill>
        </w:rPr>
        <w:t>（一）《海南省长期护理保险定点评估机构申请表》及近2年内无违法违规违纪行为承诺书；</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660" w:firstLineChars="200"/>
        <w:textAlignment w:val="baseline"/>
        <w:rPr>
          <w:rFonts w:hint="eastAsia" w:ascii="仿宋_GB2312" w:hAnsi="仿宋_GB2312" w:eastAsia="仿宋_GB2312" w:cs="仿宋_GB2312"/>
          <w:snapToGrid w:val="0"/>
          <w:color w:val="000000" w:themeColor="text1"/>
          <w:spacing w:val="5"/>
          <w:kern w:val="0"/>
          <w:sz w:val="32"/>
          <w:szCs w:val="32"/>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5"/>
          <w:kern w:val="0"/>
          <w:sz w:val="32"/>
          <w:szCs w:val="32"/>
          <w:lang w:val="en-US" w:eastAsia="zh-CN" w:bidi="ar-SA"/>
          <w14:textFill>
            <w14:solidFill>
              <w14:schemeClr w14:val="tx1"/>
            </w14:solidFill>
          </w14:textFill>
        </w:rPr>
        <w:t>（二）</w:t>
      </w:r>
      <w:r>
        <w:rPr>
          <w:rFonts w:hint="eastAsia" w:ascii="仿宋_GB2312" w:hAnsi="仿宋_GB2312" w:eastAsia="仿宋_GB2312" w:cs="仿宋_GB2312"/>
          <w:snapToGrid w:val="0"/>
          <w:color w:val="000000" w:themeColor="text1"/>
          <w:spacing w:val="5"/>
          <w:kern w:val="0"/>
          <w:sz w:val="32"/>
          <w:szCs w:val="32"/>
          <w:lang w:val="en-US" w:eastAsia="en-US" w:bidi="ar-SA"/>
          <w14:textFill>
            <w14:solidFill>
              <w14:schemeClr w14:val="tx1"/>
            </w14:solidFill>
          </w14:textFill>
        </w:rPr>
        <w:t>《营业执照》正、副本原件及加盖公章的复印件；</w:t>
      </w:r>
    </w:p>
    <w:p>
      <w:pPr>
        <w:pStyle w:val="9"/>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660" w:firstLineChars="200"/>
        <w:jc w:val="both"/>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pacing w:val="5"/>
          <w:kern w:val="0"/>
          <w:sz w:val="32"/>
          <w:szCs w:val="32"/>
          <w:lang w:val="en-US" w:eastAsia="zh-CN" w:bidi="ar-SA"/>
          <w14:textFill>
            <w14:solidFill>
              <w14:schemeClr w14:val="tx1"/>
            </w14:solidFill>
          </w14:textFill>
        </w:rPr>
        <w:t>（三）</w:t>
      </w:r>
      <w:r>
        <w:rPr>
          <w:rFonts w:hint="eastAsia" w:ascii="仿宋_GB2312" w:hAnsi="仿宋_GB2312" w:eastAsia="仿宋_GB2312" w:cs="仿宋_GB2312"/>
          <w:snapToGrid w:val="0"/>
          <w:color w:val="000000" w:themeColor="text1"/>
          <w:spacing w:val="-2"/>
          <w:kern w:val="0"/>
          <w:sz w:val="32"/>
          <w:szCs w:val="32"/>
          <w:lang w:val="en-US" w:eastAsia="en-US" w:bidi="ar-SA"/>
          <w14:textFill>
            <w14:solidFill>
              <w14:schemeClr w14:val="tx1"/>
            </w14:solidFill>
          </w14:textFill>
        </w:rPr>
        <w:t>经营用房产权证明或租赁合同等相关资料复印件（加盖</w:t>
      </w:r>
      <w:r>
        <w:rPr>
          <w:rFonts w:hint="eastAsia" w:ascii="仿宋_GB2312" w:hAnsi="仿宋_GB2312" w:eastAsia="仿宋_GB2312" w:cs="仿宋_GB2312"/>
          <w:snapToGrid w:val="0"/>
          <w:color w:val="000000" w:themeColor="text1"/>
          <w:spacing w:val="-2"/>
          <w:kern w:val="0"/>
          <w:sz w:val="32"/>
          <w:szCs w:val="32"/>
          <w:lang w:val="en-US" w:eastAsia="zh-CN" w:bidi="ar-SA"/>
          <w14:textFill>
            <w14:solidFill>
              <w14:schemeClr w14:val="tx1"/>
            </w14:solidFill>
          </w14:textFill>
        </w:rPr>
        <w:t>公章）及</w:t>
      </w:r>
      <w:r>
        <w:rPr>
          <w:rFonts w:hint="eastAsia" w:ascii="仿宋_GB2312" w:hAnsi="仿宋_GB2312" w:eastAsia="仿宋_GB2312" w:cs="仿宋_GB2312"/>
          <w:snapToGrid w:val="0"/>
          <w:color w:val="000000" w:themeColor="text1"/>
          <w:spacing w:val="-2"/>
          <w:kern w:val="0"/>
          <w:sz w:val="32"/>
          <w:szCs w:val="32"/>
          <w:lang w:val="en-US" w:eastAsia="en-US" w:bidi="ar-SA"/>
          <w14:textFill>
            <w14:solidFill>
              <w14:schemeClr w14:val="tx1"/>
            </w14:solidFill>
          </w14:textFill>
        </w:rPr>
        <w:t>业务用房平面图（注明实际经营面积）</w:t>
      </w:r>
      <w:r>
        <w:rPr>
          <w:rFonts w:hint="eastAsia" w:ascii="仿宋_GB2312" w:hAnsi="仿宋_GB2312" w:eastAsia="仿宋_GB2312" w:cs="仿宋_GB2312"/>
          <w:snapToGrid w:val="0"/>
          <w:color w:val="000000" w:themeColor="text1"/>
          <w:spacing w:val="-2"/>
          <w:kern w:val="0"/>
          <w:sz w:val="32"/>
          <w:szCs w:val="32"/>
          <w:lang w:val="en-US" w:eastAsia="zh-CN" w:bidi="ar-SA"/>
          <w14:textFill>
            <w14:solidFill>
              <w14:schemeClr w14:val="tx1"/>
            </w14:solidFill>
          </w14:textFill>
        </w:rPr>
        <w:t>；</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660" w:firstLineChars="200"/>
        <w:textAlignment w:val="baseline"/>
        <w:rPr>
          <w:rFonts w:hint="eastAsia" w:ascii="仿宋_GB2312" w:hAnsi="仿宋_GB2312" w:eastAsia="仿宋_GB2312" w:cs="仿宋_GB2312"/>
          <w:snapToGrid w:val="0"/>
          <w:color w:val="000000" w:themeColor="text1"/>
          <w:spacing w:val="5"/>
          <w:kern w:val="0"/>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5"/>
          <w:kern w:val="0"/>
          <w:sz w:val="32"/>
          <w:szCs w:val="32"/>
          <w:lang w:val="en-US" w:eastAsia="zh-CN" w:bidi="ar-SA"/>
          <w14:textFill>
            <w14:solidFill>
              <w14:schemeClr w14:val="tx1"/>
            </w14:solidFill>
          </w14:textFill>
        </w:rPr>
        <w:t>（四）工作人员及服务案例情况登记表；</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660" w:firstLineChars="200"/>
        <w:textAlignment w:val="baseline"/>
        <w:rPr>
          <w:rFonts w:hint="eastAsia" w:ascii="仿宋_GB2312" w:hAnsi="仿宋_GB2312" w:eastAsia="仿宋_GB2312" w:cs="仿宋_GB2312"/>
          <w:snapToGrid w:val="0"/>
          <w:color w:val="000000" w:themeColor="text1"/>
          <w:spacing w:val="5"/>
          <w:kern w:val="0"/>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5"/>
          <w:kern w:val="0"/>
          <w:sz w:val="32"/>
          <w:szCs w:val="32"/>
          <w:lang w:val="en-US" w:eastAsia="zh-CN" w:bidi="ar-SA"/>
          <w14:textFill>
            <w14:solidFill>
              <w14:schemeClr w14:val="tx1"/>
            </w14:solidFill>
          </w14:textFill>
        </w:rPr>
        <w:t>（五）职工劳动或劳务合同、聘用协议及参加基本医疗保险的相关证明材料；</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660" w:firstLineChars="200"/>
        <w:textAlignment w:val="baseline"/>
        <w:rPr>
          <w:rFonts w:hint="eastAsia" w:ascii="仿宋_GB2312" w:hAnsi="仿宋_GB2312" w:eastAsia="仿宋_GB2312" w:cs="仿宋_GB2312"/>
          <w:snapToGrid w:val="0"/>
          <w:color w:val="000000" w:themeColor="text1"/>
          <w:spacing w:val="5"/>
          <w:kern w:val="0"/>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5"/>
          <w:kern w:val="0"/>
          <w:sz w:val="32"/>
          <w:szCs w:val="32"/>
          <w:lang w:val="en-US" w:eastAsia="zh-CN" w:bidi="ar-SA"/>
          <w14:textFill>
            <w14:solidFill>
              <w14:schemeClr w14:val="tx1"/>
            </w14:solidFill>
          </w14:textFill>
        </w:rPr>
        <w:t>（六）符合长护险评估要求的相关制度，包含但不限于财务管理、人员管理、技能培训、信息统计、内控管理、档案管理、费用结算制度等；</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660" w:firstLineChars="200"/>
        <w:textAlignment w:val="baseline"/>
        <w:rPr>
          <w:rFonts w:hint="eastAsia" w:ascii="仿宋_GB2312" w:hAnsi="仿宋_GB2312" w:eastAsia="仿宋_GB2312" w:cs="仿宋_GB2312"/>
          <w:snapToGrid w:val="0"/>
          <w:color w:val="000000" w:themeColor="text1"/>
          <w:spacing w:val="5"/>
          <w:kern w:val="0"/>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5"/>
          <w:kern w:val="0"/>
          <w:sz w:val="32"/>
          <w:szCs w:val="32"/>
          <w:lang w:val="en-US" w:eastAsia="zh-CN" w:bidi="ar-SA"/>
          <w14:textFill>
            <w14:solidFill>
              <w14:schemeClr w14:val="tx1"/>
            </w14:solidFill>
          </w14:textFill>
        </w:rPr>
        <w:t>（七）法定代表人、主要负责人或实际控制人未被列入失信被执行人及限制消费人员名单的证明；</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right="0" w:firstLine="660" w:firstLineChars="200"/>
        <w:jc w:val="both"/>
        <w:rPr>
          <w:rFonts w:hint="eastAsia" w:ascii="仿宋_GB2312" w:hAnsi="仿宋_GB2312" w:eastAsia="仿宋_GB2312" w:cs="仿宋_GB2312"/>
          <w:snapToGrid w:val="0"/>
          <w:color w:val="000000" w:themeColor="text1"/>
          <w:spacing w:val="5"/>
          <w:kern w:val="0"/>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5"/>
          <w:kern w:val="0"/>
          <w:sz w:val="32"/>
          <w:szCs w:val="32"/>
          <w:lang w:val="en-US" w:eastAsia="zh-CN" w:bidi="ar-SA"/>
          <w14:textFill>
            <w14:solidFill>
              <w14:schemeClr w14:val="tx1"/>
            </w14:solidFill>
          </w14:textFill>
        </w:rPr>
        <w:t>（八）具备使用全省统一的医保信息平台长期护理保险相关功能有关材料；</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660" w:firstLineChars="200"/>
        <w:jc w:val="both"/>
        <w:textAlignment w:val="baseline"/>
        <w:rPr>
          <w:rFonts w:hint="eastAsia" w:ascii="仿宋_GB2312" w:hAnsi="仿宋_GB2312" w:eastAsia="仿宋_GB2312" w:cs="仿宋_GB2312"/>
          <w:snapToGrid w:val="0"/>
          <w:color w:val="000000" w:themeColor="text1"/>
          <w:spacing w:val="5"/>
          <w:kern w:val="0"/>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5"/>
          <w:kern w:val="0"/>
          <w:sz w:val="32"/>
          <w:szCs w:val="32"/>
          <w:lang w:val="en-US" w:eastAsia="zh-CN" w:bidi="ar-SA"/>
          <w14:textFill>
            <w14:solidFill>
              <w14:schemeClr w14:val="tx1"/>
            </w14:solidFill>
          </w14:textFill>
        </w:rPr>
        <w:t>（九）评估专业人员花名册及职业资格证书原件及复印件（加盖公章），并提供至少1名专职管理人员名册。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八</w:t>
      </w:r>
      <w:r>
        <w:rPr>
          <w:rFonts w:hint="eastAsia" w:ascii="黑体" w:hAnsi="黑体" w:eastAsia="黑体" w:cs="黑体"/>
          <w:color w:val="000000" w:themeColor="text1"/>
          <w:sz w:val="32"/>
          <w:szCs w:val="32"/>
          <w14:textFill>
            <w14:solidFill>
              <w14:schemeClr w14:val="tx1"/>
            </w14:solidFill>
          </w14:textFill>
        </w:rPr>
        <w:t>条</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评估机构可自愿提出定点申请</w:t>
      </w:r>
      <w:r>
        <w:rPr>
          <w:rFonts w:hint="eastAsia" w:ascii="仿宋_GB2312" w:hAnsi="仿宋_GB2312" w:eastAsia="仿宋_GB2312" w:cs="仿宋_GB2312"/>
          <w:color w:val="000000" w:themeColor="text1"/>
          <w:sz w:val="32"/>
          <w:szCs w:val="32"/>
          <w:lang w:eastAsia="zh-CN"/>
          <w14:textFill>
            <w14:solidFill>
              <w14:schemeClr w14:val="tx1"/>
            </w14:solidFill>
          </w14:textFill>
        </w:rPr>
        <w:t>，医保</w:t>
      </w:r>
      <w:r>
        <w:rPr>
          <w:rFonts w:hint="eastAsia" w:ascii="仿宋_GB2312" w:hAnsi="仿宋_GB2312" w:eastAsia="仿宋_GB2312" w:cs="仿宋_GB2312"/>
          <w:color w:val="000000" w:themeColor="text1"/>
          <w:sz w:val="32"/>
          <w:szCs w:val="32"/>
          <w14:textFill>
            <w14:solidFill>
              <w14:schemeClr w14:val="tx1"/>
            </w14:solidFill>
          </w14:textFill>
        </w:rPr>
        <w:t>经办机构应及时受理</w:t>
      </w:r>
      <w:r>
        <w:rPr>
          <w:rFonts w:hint="eastAsia" w:ascii="仿宋_GB2312" w:hAnsi="仿宋_GB2312" w:eastAsia="仿宋_GB2312" w:cs="仿宋_GB2312"/>
          <w:color w:val="000000" w:themeColor="text1"/>
          <w:sz w:val="32"/>
          <w:szCs w:val="32"/>
          <w:lang w:eastAsia="zh-CN"/>
          <w14:textFill>
            <w14:solidFill>
              <w14:schemeClr w14:val="tx1"/>
            </w14:solidFill>
          </w14:textFill>
        </w:rPr>
        <w:t>，原则上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5个工作日内完成</w:t>
      </w:r>
      <w:r>
        <w:rPr>
          <w:rFonts w:hint="eastAsia" w:ascii="仿宋_GB2312" w:hAnsi="仿宋_GB2312" w:eastAsia="仿宋_GB2312" w:cs="仿宋_GB2312"/>
          <w:color w:val="000000" w:themeColor="text1"/>
          <w:sz w:val="32"/>
          <w:szCs w:val="32"/>
          <w14:textFill>
            <w14:solidFill>
              <w14:schemeClr w14:val="tx1"/>
            </w14:solidFill>
          </w14:textFill>
        </w:rPr>
        <w:t>申请材料</w:t>
      </w:r>
      <w:r>
        <w:rPr>
          <w:rFonts w:hint="eastAsia" w:ascii="仿宋_GB2312" w:hAnsi="仿宋_GB2312" w:eastAsia="仿宋_GB2312" w:cs="仿宋_GB2312"/>
          <w:color w:val="000000" w:themeColor="text1"/>
          <w:sz w:val="32"/>
          <w:szCs w:val="32"/>
          <w:lang w:eastAsia="zh-CN"/>
          <w14:textFill>
            <w14:solidFill>
              <w14:schemeClr w14:val="tx1"/>
            </w14:solidFill>
          </w14:textFill>
        </w:rPr>
        <w:t>初</w:t>
      </w:r>
      <w:r>
        <w:rPr>
          <w:rFonts w:hint="eastAsia" w:ascii="仿宋_GB2312" w:hAnsi="仿宋_GB2312" w:eastAsia="仿宋_GB2312" w:cs="仿宋_GB2312"/>
          <w:color w:val="000000" w:themeColor="text1"/>
          <w:sz w:val="32"/>
          <w:szCs w:val="32"/>
          <w14:textFill>
            <w14:solidFill>
              <w14:schemeClr w14:val="tx1"/>
            </w14:solidFill>
          </w14:textFill>
        </w:rPr>
        <w:t>审。申请材料不全的，应当一次性告知需补齐的材料；对不符合申请条件的，应当及时告知并</w:t>
      </w:r>
      <w:r>
        <w:rPr>
          <w:rFonts w:hint="eastAsia" w:ascii="仿宋_GB2312" w:hAnsi="仿宋_GB2312" w:eastAsia="仿宋_GB2312" w:cs="仿宋_GB2312"/>
          <w:color w:val="000000" w:themeColor="text1"/>
          <w:sz w:val="32"/>
          <w:szCs w:val="32"/>
          <w:lang w:eastAsia="zh-CN"/>
          <w14:textFill>
            <w14:solidFill>
              <w14:schemeClr w14:val="tx1"/>
            </w14:solidFill>
          </w14:textFill>
        </w:rPr>
        <w:t>做好解释工作</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九</w:t>
      </w:r>
      <w:r>
        <w:rPr>
          <w:rFonts w:hint="eastAsia" w:ascii="黑体" w:hAnsi="黑体" w:eastAsia="黑体" w:cs="黑体"/>
          <w:color w:val="000000" w:themeColor="text1"/>
          <w:sz w:val="32"/>
          <w:szCs w:val="32"/>
          <w14:textFill>
            <w14:solidFill>
              <w14:schemeClr w14:val="tx1"/>
            </w14:solidFill>
          </w14:textFill>
        </w:rPr>
        <w:t>条</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初审通过后，省医保经办机构可采取书面查验、现场核查、集体评议等形式，组织开展综合审核。审核小组成员由医保、财务、信息技术等相关领域的专业人员构成。</w:t>
      </w:r>
      <w:r>
        <w:rPr>
          <w:rFonts w:hint="eastAsia" w:ascii="仿宋_GB2312" w:hAnsi="仿宋_GB2312" w:eastAsia="仿宋_GB2312" w:cs="仿宋_GB2312"/>
          <w:color w:val="000000" w:themeColor="text1"/>
          <w:sz w:val="32"/>
          <w:szCs w:val="32"/>
          <w:lang w:eastAsia="zh-CN"/>
          <w14:textFill>
            <w14:solidFill>
              <w14:schemeClr w14:val="tx1"/>
            </w14:solidFill>
          </w14:textFill>
        </w:rPr>
        <w:t>审核小组成员人数不少于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5人且为单数。</w:t>
      </w:r>
      <w:r>
        <w:rPr>
          <w:rFonts w:hint="eastAsia" w:ascii="仿宋_GB2312" w:hAnsi="仿宋_GB2312" w:eastAsia="仿宋_GB2312" w:cs="仿宋_GB2312"/>
          <w:color w:val="000000" w:themeColor="text1"/>
          <w:sz w:val="32"/>
          <w:szCs w:val="32"/>
          <w14:textFill>
            <w14:solidFill>
              <w14:schemeClr w14:val="tx1"/>
            </w14:solidFill>
          </w14:textFill>
        </w:rPr>
        <w:t>自受理申请材料之日起，审核时间不超过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个月，</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w:t>
      </w:r>
      <w:r>
        <w:rPr>
          <w:rFonts w:hint="eastAsia" w:ascii="仿宋_GB2312" w:hAnsi="仿宋_GB2312" w:eastAsia="仿宋_GB2312" w:cs="仿宋_GB2312"/>
          <w:color w:val="000000" w:themeColor="text1"/>
          <w:sz w:val="32"/>
          <w:szCs w:val="32"/>
          <w14:textFill>
            <w14:solidFill>
              <w14:schemeClr w14:val="tx1"/>
            </w14:solidFill>
          </w14:textFill>
        </w:rPr>
        <w:t>机构补充材料时间不计入审核期限。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审核内容除提交的申请资料外，还包括：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是否具备使用全国统一的医保信息平台、与医保信息平台按接口标准进行对接的条件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是否具有与服务功能相匹配的基础设备设施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（三）专业评估</w:t>
      </w:r>
      <w:r>
        <w:rPr>
          <w:rFonts w:hint="eastAsia" w:ascii="仿宋_GB2312" w:hAnsi="仿宋_GB2312" w:eastAsia="仿宋_GB2312" w:cs="仿宋_GB2312"/>
          <w:color w:val="000000" w:themeColor="text1"/>
          <w:sz w:val="32"/>
          <w:szCs w:val="32"/>
          <w14:textFill>
            <w14:solidFill>
              <w14:schemeClr w14:val="tx1"/>
            </w14:solidFill>
          </w14:textFill>
        </w:rPr>
        <w:t>人员</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数量、执业资质等是否符合</w:t>
      </w:r>
      <w:r>
        <w:rPr>
          <w:rFonts w:hint="eastAsia" w:ascii="仿宋_GB2312" w:hAnsi="仿宋_GB2312" w:eastAsia="仿宋_GB2312" w:cs="仿宋_GB2312"/>
          <w:color w:val="000000" w:themeColor="text1"/>
          <w:sz w:val="32"/>
          <w:szCs w:val="32"/>
          <w:lang w:eastAsia="zh-CN"/>
          <w14:textFill>
            <w14:solidFill>
              <w14:schemeClr w14:val="tx1"/>
            </w14:solidFill>
          </w14:textFill>
        </w:rPr>
        <w:t>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审核结果分为合格和不合格。审核合格的，拟纳入签订协议的定点评估机构名单，向社会公示，公示时间不少于5个工作日。对于审核不合格的，应告知其理由。</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b w:val="0"/>
          <w:bCs w:val="0"/>
          <w:snapToGrid w:val="0"/>
          <w:color w:val="000000" w:themeColor="text1"/>
          <w:spacing w:val="1"/>
          <w:kern w:val="0"/>
          <w:sz w:val="32"/>
          <w:szCs w:val="32"/>
          <w:lang w:val="en-US" w:eastAsia="zh-CN" w:bidi="ar-SA"/>
          <w14:textFill>
            <w14:solidFill>
              <w14:schemeClr w14:val="tx1"/>
            </w14:solidFill>
          </w14:textFill>
        </w:rPr>
        <w:t>第十条</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省医保经办机构与审核合格且通过公示的定点评估机构协商谈判，达成一致的，由省医保经办机构与定点评估机构签订定点评估服务协议，并向省医保行政部门事前备案。首次签订协议的，协议期一般为1年；续约的，可根据协议履行情况、绩效考核结果等，适当延长协议期限，最长不超过3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w:t>
      </w:r>
      <w:r>
        <w:rPr>
          <w:rFonts w:hint="eastAsia" w:ascii="黑体" w:hAnsi="黑体" w:eastAsia="黑体" w:cs="黑体"/>
          <w:color w:val="000000" w:themeColor="text1"/>
          <w:sz w:val="32"/>
          <w:szCs w:val="32"/>
          <w:lang w:eastAsia="zh-CN"/>
          <w14:textFill>
            <w14:solidFill>
              <w14:schemeClr w14:val="tx1"/>
            </w14:solidFill>
          </w14:textFill>
        </w:rPr>
        <w:t>一</w:t>
      </w:r>
      <w:r>
        <w:rPr>
          <w:rFonts w:hint="eastAsia" w:ascii="黑体" w:hAnsi="黑体" w:eastAsia="黑体" w:cs="黑体"/>
          <w:color w:val="000000" w:themeColor="text1"/>
          <w:sz w:val="32"/>
          <w:szCs w:val="32"/>
          <w14:textFill>
            <w14:solidFill>
              <w14:schemeClr w14:val="tx1"/>
            </w14:solidFill>
          </w14:textFill>
        </w:rPr>
        <w:t>条</w:t>
      </w:r>
      <w:r>
        <w:rPr>
          <w:rFonts w:hint="eastAsia" w:ascii="黑体" w:hAnsi="黑体" w:eastAsia="黑体" w:cs="黑体"/>
          <w:b w:val="0"/>
          <w:bCs w:val="0"/>
          <w:snapToGrid w:val="0"/>
          <w:color w:val="000000" w:themeColor="text1"/>
          <w:spacing w:val="1"/>
          <w:kern w:val="0"/>
          <w:sz w:val="31"/>
          <w:szCs w:val="31"/>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评估机构有下列情形之一的，不予受理定点申请：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采取伪造、篡改申请材料等不正当手段申请定点评估机构，自发现之日起未满3年的；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因违法违规解除评估服务协议未满3年或已满3年但未完全履行行政处罚法律责任的；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因严重违反评估服务协议约定而被解除协议未满1年或已满1年但未完全履行违约责任的；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法定代表人、主要负责人或实际控制人被列入失信人名单的；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五</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法律法规和规章规定的其他不予受理的情形。</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b w:val="0"/>
          <w:bCs w:val="0"/>
          <w:snapToGrid w:val="0"/>
          <w:color w:val="000000" w:themeColor="text1"/>
          <w:spacing w:val="1"/>
          <w:kern w:val="0"/>
          <w:sz w:val="32"/>
          <w:szCs w:val="32"/>
          <w:lang w:val="en-US" w:eastAsia="zh-CN" w:bidi="ar-SA"/>
          <w14:textFill>
            <w14:solidFill>
              <w14:schemeClr w14:val="tx1"/>
            </w14:solidFill>
          </w14:textFill>
        </w:rPr>
        <w:t>第十二条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省医保经办机构应向社会公布签订协议的定点评估机构名单信息，包括名称、地址、联系电话、服务类型等信息。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w:t>
      </w:r>
      <w:r>
        <w:rPr>
          <w:rFonts w:hint="eastAsia" w:ascii="黑体" w:hAnsi="黑体" w:eastAsia="黑体" w:cs="黑体"/>
          <w:color w:val="000000" w:themeColor="text1"/>
          <w:sz w:val="32"/>
          <w:szCs w:val="32"/>
          <w:lang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省</w:t>
      </w:r>
      <w:r>
        <w:rPr>
          <w:rFonts w:hint="eastAsia" w:ascii="仿宋_GB2312" w:hAnsi="仿宋_GB2312" w:eastAsia="仿宋_GB2312" w:cs="仿宋_GB2312"/>
          <w:color w:val="000000" w:themeColor="text1"/>
          <w:sz w:val="32"/>
          <w:szCs w:val="32"/>
          <w:lang w:eastAsia="zh-CN"/>
          <w14:textFill>
            <w14:solidFill>
              <w14:schemeClr w14:val="tx1"/>
            </w14:solidFill>
          </w14:textFill>
        </w:rPr>
        <w:t>医保行政部门</w:t>
      </w:r>
      <w:r>
        <w:rPr>
          <w:rFonts w:hint="eastAsia" w:ascii="仿宋_GB2312" w:hAnsi="仿宋_GB2312" w:eastAsia="仿宋_GB2312" w:cs="仿宋_GB2312"/>
          <w:color w:val="000000" w:themeColor="text1"/>
          <w:sz w:val="32"/>
          <w:szCs w:val="32"/>
          <w14:textFill>
            <w14:solidFill>
              <w14:schemeClr w14:val="tx1"/>
            </w14:solidFill>
          </w14:textFill>
        </w:rPr>
        <w:t>综合考虑失能人员总体规模、评估行业发展实际、管理服务能力等，合理确定定点评估机构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数量应不超过4家</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省医保经办机构组织遴选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，定点评估机构按照区域划分开展失能等级评估，后续根据实际需求再视情调整。</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第三</w:t>
      </w:r>
      <w:r>
        <w:rPr>
          <w:rFonts w:hint="eastAsia" w:ascii="黑体" w:hAnsi="黑体" w:eastAsia="黑体" w:cs="黑体"/>
          <w:b w:val="0"/>
          <w:bCs w:val="0"/>
          <w:color w:val="000000" w:themeColor="text1"/>
          <w:sz w:val="32"/>
          <w:szCs w:val="32"/>
          <w:lang w:eastAsia="zh-CN"/>
          <w14:textFill>
            <w14:solidFill>
              <w14:schemeClr w14:val="tx1"/>
            </w14:solidFill>
          </w14:textFill>
        </w:rPr>
        <w:t xml:space="preserve">章  </w:t>
      </w:r>
      <w:r>
        <w:rPr>
          <w:rFonts w:hint="eastAsia" w:ascii="黑体" w:hAnsi="黑体" w:eastAsia="黑体" w:cs="黑体"/>
          <w:b w:val="0"/>
          <w:bCs w:val="0"/>
          <w:color w:val="000000" w:themeColor="text1"/>
          <w:sz w:val="32"/>
          <w:szCs w:val="32"/>
          <w14:textFill>
            <w14:solidFill>
              <w14:schemeClr w14:val="tx1"/>
            </w14:solidFill>
          </w14:textFill>
        </w:rPr>
        <w:t>定点评估机构运行管理</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b w:val="0"/>
          <w:bCs w:val="0"/>
          <w:snapToGrid w:val="0"/>
          <w:color w:val="000000" w:themeColor="text1"/>
          <w:spacing w:val="1"/>
          <w:kern w:val="0"/>
          <w:sz w:val="32"/>
          <w:szCs w:val="32"/>
          <w:lang w:val="en-US" w:eastAsia="zh-CN" w:bidi="ar-SA"/>
          <w14:textFill>
            <w14:solidFill>
              <w14:schemeClr w14:val="tx1"/>
            </w14:solidFill>
          </w14:textFill>
        </w:rPr>
        <w:t>第十四条</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定点评估机构具有为参保人提供公平公正的失能等级评估后获得长护险评估结算费用，提出变更、中止或解除定点评估服务协议，对经办机构履约情况进行监督，对完善长护险评估政策提出意见建议等权利。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w:t>
      </w:r>
      <w:r>
        <w:rPr>
          <w:rFonts w:hint="eastAsia" w:ascii="黑体" w:hAnsi="黑体" w:eastAsia="黑体" w:cs="黑体"/>
          <w:color w:val="000000" w:themeColor="text1"/>
          <w:sz w:val="32"/>
          <w:szCs w:val="32"/>
          <w:lang w:eastAsia="zh-CN"/>
          <w14:textFill>
            <w14:solidFill>
              <w14:schemeClr w14:val="tx1"/>
            </w14:solidFill>
          </w14:textFill>
        </w:rPr>
        <w:t>五</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定点评估机构应当遵守长护险有关政策规定，按照评估服务协议要求，</w:t>
      </w:r>
      <w:r>
        <w:rPr>
          <w:rFonts w:hint="eastAsia" w:ascii="仿宋_GB2312" w:hAnsi="仿宋_GB2312" w:eastAsia="仿宋_GB2312" w:cs="仿宋_GB2312"/>
          <w:color w:val="000000" w:themeColor="text1"/>
          <w:sz w:val="32"/>
          <w:szCs w:val="32"/>
          <w14:textFill>
            <w14:solidFill>
              <w14:schemeClr w14:val="tx1"/>
            </w14:solidFill>
          </w14:textFill>
        </w:rPr>
        <w:t>加强内部建设，确保评估质量和评估结论准确性。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w:t>
      </w:r>
      <w:r>
        <w:rPr>
          <w:rFonts w:hint="eastAsia" w:ascii="黑体" w:hAnsi="黑体" w:eastAsia="黑体" w:cs="黑体"/>
          <w:color w:val="000000" w:themeColor="text1"/>
          <w:sz w:val="32"/>
          <w:szCs w:val="32"/>
          <w:lang w:eastAsia="zh-CN"/>
          <w14:textFill>
            <w14:solidFill>
              <w14:schemeClr w14:val="tx1"/>
            </w14:solidFill>
          </w14:textFill>
        </w:rPr>
        <w:t>六</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定</w:t>
      </w:r>
      <w:r>
        <w:rPr>
          <w:rFonts w:hint="eastAsia" w:ascii="仿宋_GB2312" w:hAnsi="仿宋_GB2312" w:eastAsia="仿宋_GB2312" w:cs="仿宋_GB2312"/>
          <w:color w:val="000000" w:themeColor="text1"/>
          <w:sz w:val="32"/>
          <w:szCs w:val="32"/>
          <w14:textFill>
            <w14:solidFill>
              <w14:schemeClr w14:val="tx1"/>
            </w14:solidFill>
          </w14:textFill>
        </w:rPr>
        <w:t>点评估机构应建立健全内部质量控制制度，形成部门之间、岗位之间和业务之间相互制衡、相互监督的内控机制。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第十</w:t>
      </w:r>
      <w:r>
        <w:rPr>
          <w:rFonts w:hint="eastAsia" w:ascii="黑体" w:hAnsi="黑体" w:eastAsia="黑体" w:cs="黑体"/>
          <w:b w:val="0"/>
          <w:bCs w:val="0"/>
          <w:color w:val="000000" w:themeColor="text1"/>
          <w:sz w:val="32"/>
          <w:szCs w:val="32"/>
          <w:lang w:eastAsia="zh-CN"/>
          <w14:textFill>
            <w14:solidFill>
              <w14:schemeClr w14:val="tx1"/>
            </w14:solidFill>
          </w14:textFill>
        </w:rPr>
        <w:t>七</w:t>
      </w:r>
      <w:r>
        <w:rPr>
          <w:rFonts w:hint="eastAsia" w:ascii="黑体" w:hAnsi="黑体" w:eastAsia="黑体" w:cs="黑体"/>
          <w:b w:val="0"/>
          <w:bCs w:val="0"/>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定</w:t>
      </w:r>
      <w:r>
        <w:rPr>
          <w:rFonts w:hint="eastAsia" w:ascii="仿宋_GB2312" w:hAnsi="仿宋_GB2312" w:eastAsia="仿宋_GB2312" w:cs="仿宋_GB2312"/>
          <w:color w:val="000000" w:themeColor="text1"/>
          <w:sz w:val="32"/>
          <w:szCs w:val="32"/>
          <w14:textFill>
            <w14:solidFill>
              <w14:schemeClr w14:val="tx1"/>
            </w14:solidFill>
          </w14:textFill>
        </w:rPr>
        <w:t>点评估机构应建立人员管理制度，加强日常管理，规范评估工作行为。按规定组织评估人员参加业务培训，定期组织内部培训，确保评估人员熟悉</w:t>
      </w:r>
      <w:r>
        <w:rPr>
          <w:rFonts w:hint="eastAsia" w:ascii="仿宋_GB2312" w:hAnsi="仿宋_GB2312" w:eastAsia="仿宋_GB2312" w:cs="仿宋_GB2312"/>
          <w:color w:val="000000" w:themeColor="text1"/>
          <w:sz w:val="32"/>
          <w:szCs w:val="32"/>
          <w:lang w:eastAsia="zh-CN"/>
          <w14:textFill>
            <w14:solidFill>
              <w14:schemeClr w14:val="tx1"/>
            </w14:solidFill>
          </w14:textFill>
        </w:rPr>
        <w:t>长护险</w:t>
      </w:r>
      <w:r>
        <w:rPr>
          <w:rFonts w:hint="eastAsia" w:ascii="仿宋_GB2312" w:hAnsi="仿宋_GB2312" w:eastAsia="仿宋_GB2312" w:cs="仿宋_GB2312"/>
          <w:color w:val="000000" w:themeColor="text1"/>
          <w:sz w:val="32"/>
          <w:szCs w:val="32"/>
          <w14:textFill>
            <w14:solidFill>
              <w14:schemeClr w14:val="tx1"/>
            </w14:solidFill>
          </w14:textFill>
        </w:rPr>
        <w:t>相关政策、掌握评估技能。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第十</w:t>
      </w:r>
      <w:r>
        <w:rPr>
          <w:rFonts w:hint="eastAsia" w:ascii="黑体" w:hAnsi="黑体" w:eastAsia="黑体" w:cs="黑体"/>
          <w:b w:val="0"/>
          <w:bCs w:val="0"/>
          <w:color w:val="000000" w:themeColor="text1"/>
          <w:sz w:val="32"/>
          <w:szCs w:val="32"/>
          <w:lang w:eastAsia="zh-CN"/>
          <w14:textFill>
            <w14:solidFill>
              <w14:schemeClr w14:val="tx1"/>
            </w14:solidFill>
          </w14:textFill>
        </w:rPr>
        <w:t>八</w:t>
      </w:r>
      <w:r>
        <w:rPr>
          <w:rFonts w:hint="eastAsia" w:ascii="黑体" w:hAnsi="黑体" w:eastAsia="黑体" w:cs="黑体"/>
          <w:b w:val="0"/>
          <w:bCs w:val="0"/>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定</w:t>
      </w:r>
      <w:r>
        <w:rPr>
          <w:rFonts w:hint="eastAsia" w:ascii="仿宋_GB2312" w:hAnsi="仿宋_GB2312" w:eastAsia="仿宋_GB2312" w:cs="仿宋_GB2312"/>
          <w:color w:val="000000" w:themeColor="text1"/>
          <w:sz w:val="32"/>
          <w:szCs w:val="32"/>
          <w14:textFill>
            <w14:solidFill>
              <w14:schemeClr w14:val="tx1"/>
            </w14:solidFill>
          </w14:textFill>
        </w:rPr>
        <w:t>点评估机构应建立评估档案管理制度，按要求做好失能等级评估申请材料、评估过程相关记录、评估结论书、内部管理控制相关记录等档案的留存归档。评估服务协议期限届满或协议终止前应及时将完整档案移交</w:t>
      </w:r>
      <w:r>
        <w:rPr>
          <w:rFonts w:hint="eastAsia" w:ascii="仿宋_GB2312" w:hAnsi="仿宋_GB2312" w:eastAsia="仿宋_GB2312" w:cs="仿宋_GB2312"/>
          <w:color w:val="000000" w:themeColor="text1"/>
          <w:sz w:val="32"/>
          <w:szCs w:val="32"/>
          <w:lang w:eastAsia="zh-CN"/>
          <w14:textFill>
            <w14:solidFill>
              <w14:schemeClr w14:val="tx1"/>
            </w14:solidFill>
          </w14:textFill>
        </w:rPr>
        <w:t>所在地医保经办机构</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第十</w:t>
      </w:r>
      <w:r>
        <w:rPr>
          <w:rFonts w:hint="eastAsia" w:ascii="黑体" w:hAnsi="黑体" w:eastAsia="黑体" w:cs="黑体"/>
          <w:b w:val="0"/>
          <w:bCs w:val="0"/>
          <w:color w:val="000000" w:themeColor="text1"/>
          <w:sz w:val="32"/>
          <w:szCs w:val="32"/>
          <w:lang w:eastAsia="zh-CN"/>
          <w14:textFill>
            <w14:solidFill>
              <w14:schemeClr w14:val="tx1"/>
            </w14:solidFill>
          </w14:textFill>
        </w:rPr>
        <w:t>九</w:t>
      </w:r>
      <w:r>
        <w:rPr>
          <w:rFonts w:hint="eastAsia" w:ascii="黑体" w:hAnsi="黑体" w:eastAsia="黑体" w:cs="黑体"/>
          <w:b w:val="0"/>
          <w:bCs w:val="0"/>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定点评</w:t>
      </w:r>
      <w:r>
        <w:rPr>
          <w:rFonts w:hint="eastAsia" w:ascii="仿宋_GB2312" w:hAnsi="仿宋_GB2312" w:eastAsia="仿宋_GB2312" w:cs="仿宋_GB2312"/>
          <w:color w:val="000000" w:themeColor="text1"/>
          <w:sz w:val="32"/>
          <w:szCs w:val="32"/>
          <w14:textFill>
            <w14:solidFill>
              <w14:schemeClr w14:val="tx1"/>
            </w14:solidFill>
          </w14:textFill>
        </w:rPr>
        <w:t>估机构应建立</w:t>
      </w:r>
      <w:r>
        <w:rPr>
          <w:rFonts w:hint="eastAsia" w:ascii="仿宋_GB2312" w:hAnsi="仿宋_GB2312" w:eastAsia="仿宋_GB2312" w:cs="仿宋_GB2312"/>
          <w:color w:val="000000" w:themeColor="text1"/>
          <w:sz w:val="32"/>
          <w:szCs w:val="32"/>
          <w:lang w:eastAsia="zh-CN"/>
          <w14:textFill>
            <w14:solidFill>
              <w14:schemeClr w14:val="tx1"/>
            </w14:solidFill>
          </w14:textFill>
        </w:rPr>
        <w:t>长护险</w:t>
      </w:r>
      <w:r>
        <w:rPr>
          <w:rFonts w:hint="eastAsia" w:ascii="仿宋_GB2312" w:hAnsi="仿宋_GB2312" w:eastAsia="仿宋_GB2312" w:cs="仿宋_GB2312"/>
          <w:color w:val="000000" w:themeColor="text1"/>
          <w:sz w:val="32"/>
          <w:szCs w:val="32"/>
          <w14:textFill>
            <w14:solidFill>
              <w14:schemeClr w14:val="tx1"/>
            </w14:solidFill>
          </w14:textFill>
        </w:rPr>
        <w:t>信息安全管理制度，明确信息安全管理责任，确保信息安全。未经</w:t>
      </w:r>
      <w:r>
        <w:rPr>
          <w:rFonts w:hint="eastAsia" w:ascii="仿宋_GB2312" w:hAnsi="仿宋_GB2312" w:eastAsia="仿宋_GB2312" w:cs="仿宋_GB2312"/>
          <w:color w:val="000000" w:themeColor="text1"/>
          <w:sz w:val="32"/>
          <w:szCs w:val="32"/>
          <w:lang w:eastAsia="zh-CN"/>
          <w14:textFill>
            <w14:solidFill>
              <w14:schemeClr w14:val="tx1"/>
            </w14:solidFill>
          </w14:textFill>
        </w:rPr>
        <w:t>医保经办机构</w:t>
      </w:r>
      <w:r>
        <w:rPr>
          <w:rFonts w:hint="eastAsia" w:ascii="仿宋_GB2312" w:hAnsi="仿宋_GB2312" w:eastAsia="仿宋_GB2312" w:cs="仿宋_GB2312"/>
          <w:color w:val="000000" w:themeColor="text1"/>
          <w:sz w:val="32"/>
          <w:szCs w:val="32"/>
          <w14:textFill>
            <w14:solidFill>
              <w14:schemeClr w14:val="tx1"/>
            </w14:solidFill>
          </w14:textFill>
        </w:rPr>
        <w:t>书面同意，不得向任何机构或个人提供参保人员隐私信息</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法律有规定的除外</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5"/>
        <w:keepNext w:val="0"/>
        <w:keepLines w:val="0"/>
        <w:pageBreakBefore w:val="0"/>
        <w:widowControl w:val="0"/>
        <w:kinsoku/>
        <w:wordWrap/>
        <w:overflowPunct/>
        <w:topLinePunct w:val="0"/>
        <w:autoSpaceDE/>
        <w:autoSpaceDN/>
        <w:bidi w:val="0"/>
        <w:adjustRightInd w:val="0"/>
        <w:snapToGrid w:val="0"/>
        <w:spacing w:line="560" w:lineRule="exact"/>
        <w:ind w:right="6" w:firstLine="658"/>
        <w:jc w:val="both"/>
        <w:textAlignment w:val="baseline"/>
        <w:rPr>
          <w:rFonts w:hint="eastAsia" w:ascii="仿宋_GB2312" w:hAnsi="仿宋_GB2312" w:eastAsia="仿宋_GB2312" w:cs="仿宋_GB2312"/>
          <w:b/>
          <w:bCs/>
          <w:color w:val="000000" w:themeColor="text1"/>
          <w:spacing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w:t>
      </w:r>
      <w:r>
        <w:rPr>
          <w:rFonts w:hint="eastAsia" w:ascii="黑体" w:hAnsi="黑体" w:eastAsia="黑体" w:cs="黑体"/>
          <w:b w:val="0"/>
          <w:bCs w:val="0"/>
          <w:color w:val="000000" w:themeColor="text1"/>
          <w:sz w:val="32"/>
          <w:szCs w:val="32"/>
          <w:lang w:eastAsia="zh-CN"/>
          <w14:textFill>
            <w14:solidFill>
              <w14:schemeClr w14:val="tx1"/>
            </w14:solidFill>
          </w14:textFill>
        </w:rPr>
        <w:t>二</w:t>
      </w:r>
      <w:r>
        <w:rPr>
          <w:rFonts w:hint="eastAsia" w:ascii="黑体" w:hAnsi="黑体" w:eastAsia="黑体" w:cs="黑体"/>
          <w:b w:val="0"/>
          <w:bCs w:val="0"/>
          <w:color w:val="000000" w:themeColor="text1"/>
          <w:sz w:val="32"/>
          <w:szCs w:val="32"/>
          <w14:textFill>
            <w14:solidFill>
              <w14:schemeClr w14:val="tx1"/>
            </w14:solidFill>
          </w14:textFill>
        </w:rPr>
        <w:t>十条</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定</w:t>
      </w:r>
      <w:r>
        <w:rPr>
          <w:rFonts w:hint="eastAsia" w:ascii="仿宋_GB2312" w:hAnsi="仿宋_GB2312" w:eastAsia="仿宋_GB2312" w:cs="仿宋_GB2312"/>
          <w:color w:val="000000" w:themeColor="text1"/>
          <w:sz w:val="32"/>
          <w:szCs w:val="32"/>
          <w14:textFill>
            <w14:solidFill>
              <w14:schemeClr w14:val="tx1"/>
            </w14:solidFill>
          </w14:textFill>
        </w:rPr>
        <w:t>点</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w:t>
      </w:r>
      <w:r>
        <w:rPr>
          <w:rFonts w:hint="eastAsia" w:ascii="仿宋_GB2312" w:hAnsi="仿宋_GB2312" w:eastAsia="仿宋_GB2312" w:cs="仿宋_GB2312"/>
          <w:color w:val="000000" w:themeColor="text1"/>
          <w:sz w:val="32"/>
          <w:szCs w:val="32"/>
          <w14:textFill>
            <w14:solidFill>
              <w14:schemeClr w14:val="tx1"/>
            </w14:solidFill>
          </w14:textFill>
        </w:rPr>
        <w:t>机构应</w:t>
      </w:r>
      <w:r>
        <w:rPr>
          <w:rFonts w:hint="eastAsia" w:ascii="仿宋_GB2312" w:hAnsi="仿宋_GB2312" w:eastAsia="仿宋_GB2312" w:cs="仿宋_GB2312"/>
          <w:color w:val="000000" w:themeColor="text1"/>
          <w:sz w:val="32"/>
          <w:szCs w:val="32"/>
          <w:lang w:eastAsia="zh-CN"/>
          <w14:textFill>
            <w14:solidFill>
              <w14:schemeClr w14:val="tx1"/>
            </w14:solidFill>
          </w14:textFill>
        </w:rPr>
        <w:t>使用</w:t>
      </w:r>
      <w:r>
        <w:rPr>
          <w:rFonts w:hint="eastAsia" w:ascii="仿宋_GB2312" w:hAnsi="仿宋_GB2312" w:eastAsia="仿宋_GB2312" w:cs="仿宋_GB2312"/>
          <w:color w:val="000000" w:themeColor="text1"/>
          <w:sz w:val="32"/>
          <w:szCs w:val="32"/>
          <w14:textFill>
            <w14:solidFill>
              <w14:schemeClr w14:val="tx1"/>
            </w14:solidFill>
          </w14:textFill>
        </w:rPr>
        <w:t>全国统一的医保信息平台</w:t>
      </w:r>
      <w:r>
        <w:rPr>
          <w:rFonts w:hint="eastAsia" w:ascii="仿宋_GB2312" w:hAnsi="仿宋_GB2312" w:eastAsia="仿宋_GB2312" w:cs="仿宋_GB2312"/>
          <w:color w:val="000000" w:themeColor="text1"/>
          <w:sz w:val="32"/>
          <w:szCs w:val="32"/>
          <w:lang w:eastAsia="zh-CN"/>
          <w14:textFill>
            <w14:solidFill>
              <w14:schemeClr w14:val="tx1"/>
            </w14:solidFill>
          </w14:textFill>
        </w:rPr>
        <w:t>长护险失能等级评估相关</w:t>
      </w:r>
      <w:r>
        <w:rPr>
          <w:rFonts w:hint="eastAsia" w:ascii="仿宋_GB2312" w:hAnsi="仿宋_GB2312" w:eastAsia="仿宋_GB2312" w:cs="仿宋_GB2312"/>
          <w:color w:val="000000" w:themeColor="text1"/>
          <w:sz w:val="32"/>
          <w:szCs w:val="32"/>
          <w14:textFill>
            <w14:solidFill>
              <w14:schemeClr w14:val="tx1"/>
            </w14:solidFill>
          </w14:textFill>
        </w:rPr>
        <w:t>功能模块</w:t>
      </w:r>
      <w:r>
        <w:rPr>
          <w:rFonts w:hint="eastAsia" w:ascii="仿宋_GB2312" w:hAnsi="仿宋_GB2312" w:eastAsia="仿宋_GB2312" w:cs="仿宋_GB2312"/>
          <w:color w:val="000000" w:themeColor="text1"/>
          <w:sz w:val="32"/>
          <w:szCs w:val="32"/>
          <w:lang w:eastAsia="zh-CN"/>
          <w14:textFill>
            <w14:solidFill>
              <w14:schemeClr w14:val="tx1"/>
            </w14:solidFill>
          </w14:textFill>
        </w:rPr>
        <w:t>和长护险信息业务编码，做好定点评估机构和评估人员编码信息动态维护工作</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，纳入全省统一管理，</w:t>
      </w:r>
      <w:r>
        <w:rPr>
          <w:rFonts w:hint="eastAsia" w:ascii="仿宋_GB2312" w:hAnsi="仿宋_GB2312" w:eastAsia="仿宋_GB2312" w:cs="仿宋_GB2312"/>
          <w:color w:val="000000" w:themeColor="text1"/>
          <w:sz w:val="32"/>
          <w:szCs w:val="32"/>
          <w:lang w:eastAsia="zh-CN"/>
          <w14:textFill>
            <w14:solidFill>
              <w14:schemeClr w14:val="tx1"/>
            </w14:solidFill>
          </w14:textFill>
        </w:rPr>
        <w:t>实现长护险服务等数据信息的管理与传输</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w:t>
      </w:r>
      <w:r>
        <w:rPr>
          <w:rFonts w:hint="eastAsia" w:ascii="黑体" w:hAnsi="黑体" w:eastAsia="黑体" w:cs="黑体"/>
          <w:b w:val="0"/>
          <w:bCs w:val="0"/>
          <w:color w:val="000000" w:themeColor="text1"/>
          <w:sz w:val="32"/>
          <w:szCs w:val="32"/>
          <w:lang w:eastAsia="zh-CN"/>
          <w14:textFill>
            <w14:solidFill>
              <w14:schemeClr w14:val="tx1"/>
            </w14:solidFill>
          </w14:textFill>
        </w:rPr>
        <w:t>二十一</w:t>
      </w:r>
      <w:r>
        <w:rPr>
          <w:rFonts w:hint="eastAsia" w:ascii="黑体" w:hAnsi="黑体" w:eastAsia="黑体" w:cs="黑体"/>
          <w:b w:val="0"/>
          <w:bCs w:val="0"/>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定点</w:t>
      </w:r>
      <w:r>
        <w:rPr>
          <w:rFonts w:hint="eastAsia" w:ascii="仿宋_GB2312" w:hAnsi="仿宋_GB2312" w:eastAsia="仿宋_GB2312" w:cs="仿宋_GB2312"/>
          <w:color w:val="000000" w:themeColor="text1"/>
          <w:sz w:val="32"/>
          <w:szCs w:val="32"/>
          <w14:textFill>
            <w14:solidFill>
              <w14:schemeClr w14:val="tx1"/>
            </w14:solidFill>
          </w14:textFill>
        </w:rPr>
        <w:t>评估机构应配合</w:t>
      </w:r>
      <w:r>
        <w:rPr>
          <w:rFonts w:hint="eastAsia" w:ascii="仿宋_GB2312" w:hAnsi="仿宋_GB2312" w:eastAsia="仿宋_GB2312" w:cs="仿宋_GB2312"/>
          <w:color w:val="000000" w:themeColor="text1"/>
          <w:sz w:val="32"/>
          <w:szCs w:val="32"/>
          <w:lang w:eastAsia="zh-CN"/>
          <w14:textFill>
            <w14:solidFill>
              <w14:schemeClr w14:val="tx1"/>
            </w14:solidFill>
          </w14:textFill>
        </w:rPr>
        <w:t>医保经办机构</w:t>
      </w:r>
      <w:r>
        <w:rPr>
          <w:rFonts w:hint="eastAsia" w:ascii="仿宋_GB2312" w:hAnsi="仿宋_GB2312" w:eastAsia="仿宋_GB2312" w:cs="仿宋_GB2312"/>
          <w:color w:val="000000" w:themeColor="text1"/>
          <w:sz w:val="32"/>
          <w:szCs w:val="32"/>
          <w14:textFill>
            <w14:solidFill>
              <w14:schemeClr w14:val="tx1"/>
            </w14:solidFill>
          </w14:textFill>
        </w:rPr>
        <w:t>的日常检查、评估结论抽审、考核评价等工作，接受</w:t>
      </w:r>
      <w:r>
        <w:rPr>
          <w:rFonts w:hint="eastAsia" w:ascii="仿宋_GB2312" w:hAnsi="仿宋_GB2312" w:eastAsia="仿宋_GB2312" w:cs="仿宋_GB2312"/>
          <w:color w:val="000000" w:themeColor="text1"/>
          <w:sz w:val="32"/>
          <w:szCs w:val="32"/>
          <w:lang w:eastAsia="zh-CN"/>
          <w14:textFill>
            <w14:solidFill>
              <w14:schemeClr w14:val="tx1"/>
            </w14:solidFill>
          </w14:textFill>
        </w:rPr>
        <w:t>医保行政部门</w:t>
      </w:r>
      <w:r>
        <w:rPr>
          <w:rFonts w:hint="eastAsia" w:ascii="仿宋_GB2312" w:hAnsi="仿宋_GB2312" w:eastAsia="仿宋_GB2312" w:cs="仿宋_GB2312"/>
          <w:color w:val="000000" w:themeColor="text1"/>
          <w:sz w:val="32"/>
          <w:szCs w:val="32"/>
          <w14:textFill>
            <w14:solidFill>
              <w14:schemeClr w14:val="tx1"/>
            </w14:solidFill>
          </w14:textFill>
        </w:rPr>
        <w:t>的监督检查，并按规定提供相关材料。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第二十二条</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en-US" w:bidi="ar-SA"/>
          <w14:textFill>
            <w14:solidFill>
              <w14:schemeClr w14:val="tx1"/>
            </w14:solidFill>
          </w14:textFill>
        </w:rPr>
        <w:t>定点</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评估</w:t>
      </w:r>
      <w:r>
        <w:rPr>
          <w:rFonts w:hint="eastAsia" w:ascii="仿宋_GB2312" w:hAnsi="仿宋_GB2312" w:eastAsia="仿宋_GB2312" w:cs="仿宋_GB2312"/>
          <w:color w:val="000000" w:themeColor="text1"/>
          <w:kern w:val="2"/>
          <w:sz w:val="32"/>
          <w:szCs w:val="32"/>
          <w:lang w:val="en-US" w:eastAsia="en-US" w:bidi="ar-SA"/>
          <w14:textFill>
            <w14:solidFill>
              <w14:schemeClr w14:val="tx1"/>
            </w14:solidFill>
          </w14:textFill>
        </w:rPr>
        <w:t>机构应建立</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评估</w:t>
      </w:r>
      <w:r>
        <w:rPr>
          <w:rFonts w:hint="eastAsia" w:ascii="仿宋_GB2312" w:hAnsi="仿宋_GB2312" w:eastAsia="仿宋_GB2312" w:cs="仿宋_GB2312"/>
          <w:color w:val="000000" w:themeColor="text1"/>
          <w:kern w:val="2"/>
          <w:sz w:val="32"/>
          <w:szCs w:val="32"/>
          <w:lang w:val="en-US" w:eastAsia="en-US" w:bidi="ar-SA"/>
          <w14:textFill>
            <w14:solidFill>
              <w14:schemeClr w14:val="tx1"/>
            </w14:solidFill>
          </w14:textFill>
        </w:rPr>
        <w:t>人员动态管理机制和工作质量考核评价体系，实行实名制管理，坚持持证上岗，强化技能培训，规范服务行为，提升服务质量</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en-US" w:bidi="ar-SA"/>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第二十三条</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en-US" w:bidi="ar-SA"/>
          <w14:textFill>
            <w14:solidFill>
              <w14:schemeClr w14:val="tx1"/>
            </w14:solidFill>
          </w14:textFill>
        </w:rPr>
        <w:t>定点</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评估</w:t>
      </w:r>
      <w:r>
        <w:rPr>
          <w:rFonts w:hint="eastAsia" w:ascii="仿宋_GB2312" w:hAnsi="仿宋_GB2312" w:eastAsia="仿宋_GB2312" w:cs="仿宋_GB2312"/>
          <w:color w:val="000000" w:themeColor="text1"/>
          <w:kern w:val="2"/>
          <w:sz w:val="32"/>
          <w:szCs w:val="32"/>
          <w:lang w:val="en-US" w:eastAsia="en-US" w:bidi="ar-SA"/>
          <w14:textFill>
            <w14:solidFill>
              <w14:schemeClr w14:val="tx1"/>
            </w14:solidFill>
          </w14:textFill>
        </w:rPr>
        <w:t>机构应当遵守国家和地方政府有关服务价格管理的法律、法规、标准和规范，全面实行收费公示和费用清单制度。</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color w:val="000000" w:themeColor="text1"/>
          <w:kern w:val="2"/>
          <w:sz w:val="32"/>
          <w:szCs w:val="32"/>
          <w:lang w:val="en-US" w:eastAsia="en-US" w:bidi="ar-SA"/>
          <w14:textFill>
            <w14:solidFill>
              <w14:schemeClr w14:val="tx1"/>
            </w14:solidFill>
          </w14:textFill>
        </w:rPr>
      </w:pPr>
      <w:r>
        <w:rPr>
          <w:rFonts w:hint="eastAsia" w:ascii="黑体" w:hAnsi="黑体" w:eastAsia="黑体" w:cs="黑体"/>
          <w:b w:val="0"/>
          <w:bCs w:val="0"/>
          <w:snapToGrid w:val="0"/>
          <w:color w:val="000000" w:themeColor="text1"/>
          <w:spacing w:val="1"/>
          <w:kern w:val="0"/>
          <w:sz w:val="32"/>
          <w:szCs w:val="32"/>
          <w:lang w:val="en-US" w:eastAsia="zh-CN" w:bidi="ar-SA"/>
          <w14:textFill>
            <w14:solidFill>
              <w14:schemeClr w14:val="tx1"/>
            </w14:solidFill>
          </w14:textFill>
        </w:rPr>
        <w:t>第二十四条</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en-US" w:bidi="ar-SA"/>
          <w14:textFill>
            <w14:solidFill>
              <w14:schemeClr w14:val="tx1"/>
            </w14:solidFill>
          </w14:textFill>
        </w:rPr>
        <w:t>定点</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评估</w:t>
      </w:r>
      <w:r>
        <w:rPr>
          <w:rFonts w:hint="eastAsia" w:ascii="仿宋_GB2312" w:hAnsi="仿宋_GB2312" w:eastAsia="仿宋_GB2312" w:cs="仿宋_GB2312"/>
          <w:color w:val="000000" w:themeColor="text1"/>
          <w:kern w:val="2"/>
          <w:sz w:val="32"/>
          <w:szCs w:val="32"/>
          <w:lang w:val="en-US" w:eastAsia="en-US" w:bidi="ar-SA"/>
          <w14:textFill>
            <w14:solidFill>
              <w14:schemeClr w14:val="tx1"/>
            </w14:solidFill>
          </w14:textFill>
        </w:rPr>
        <w:t>机构应按规定悬挂统一的定点</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评估</w:t>
      </w:r>
      <w:r>
        <w:rPr>
          <w:rFonts w:hint="eastAsia" w:ascii="仿宋_GB2312" w:hAnsi="仿宋_GB2312" w:eastAsia="仿宋_GB2312" w:cs="仿宋_GB2312"/>
          <w:color w:val="000000" w:themeColor="text1"/>
          <w:kern w:val="2"/>
          <w:sz w:val="32"/>
          <w:szCs w:val="32"/>
          <w:lang w:val="en-US" w:eastAsia="en-US" w:bidi="ar-SA"/>
          <w14:textFill>
            <w14:solidFill>
              <w14:schemeClr w14:val="tx1"/>
            </w14:solidFill>
          </w14:textFill>
        </w:rPr>
        <w:t>机构标识。</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outlineLvl w:val="0"/>
        <w:rPr>
          <w:rFonts w:ascii="黑体" w:hAnsi="黑体" w:eastAsia="黑体" w:cs="黑体"/>
          <w:color w:val="000000" w:themeColor="text1"/>
          <w:spacing w:val="5"/>
          <w:sz w:val="31"/>
          <w:szCs w:val="3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outlineLvl w:val="0"/>
        <w:rPr>
          <w:rFonts w:hint="eastAsia" w:ascii="Arial" w:eastAsia="黑体"/>
          <w:color w:val="000000" w:themeColor="text1"/>
          <w:sz w:val="32"/>
          <w:szCs w:val="32"/>
          <w:lang w:eastAsia="zh-CN"/>
          <w14:textFill>
            <w14:solidFill>
              <w14:schemeClr w14:val="tx1"/>
            </w14:solidFill>
          </w14:textFill>
        </w:rPr>
      </w:pPr>
      <w:r>
        <w:rPr>
          <w:rFonts w:ascii="黑体" w:hAnsi="黑体" w:eastAsia="黑体" w:cs="黑体"/>
          <w:color w:val="000000" w:themeColor="text1"/>
          <w:spacing w:val="5"/>
          <w:sz w:val="32"/>
          <w:szCs w:val="32"/>
          <w14:textFill>
            <w14:solidFill>
              <w14:schemeClr w14:val="tx1"/>
            </w14:solidFill>
          </w14:textFill>
        </w:rPr>
        <w:t>第</w:t>
      </w:r>
      <w:r>
        <w:rPr>
          <w:rFonts w:hint="eastAsia" w:ascii="黑体" w:hAnsi="黑体" w:eastAsia="黑体" w:cs="黑体"/>
          <w:color w:val="000000" w:themeColor="text1"/>
          <w:spacing w:val="5"/>
          <w:sz w:val="32"/>
          <w:szCs w:val="32"/>
          <w:lang w:eastAsia="zh-CN"/>
          <w14:textFill>
            <w14:solidFill>
              <w14:schemeClr w14:val="tx1"/>
            </w14:solidFill>
          </w14:textFill>
        </w:rPr>
        <w:t>四</w:t>
      </w:r>
      <w:r>
        <w:rPr>
          <w:rFonts w:ascii="黑体" w:hAnsi="黑体" w:eastAsia="黑体" w:cs="黑体"/>
          <w:color w:val="000000" w:themeColor="text1"/>
          <w:spacing w:val="5"/>
          <w:sz w:val="32"/>
          <w:szCs w:val="32"/>
          <w14:textFill>
            <w14:solidFill>
              <w14:schemeClr w14:val="tx1"/>
            </w14:solidFill>
          </w14:textFill>
        </w:rPr>
        <w:t xml:space="preserve">章 </w:t>
      </w:r>
      <w:r>
        <w:rPr>
          <w:rFonts w:hint="eastAsia" w:ascii="黑体" w:hAnsi="黑体" w:eastAsia="黑体" w:cs="黑体"/>
          <w:color w:val="000000" w:themeColor="text1"/>
          <w:spacing w:val="5"/>
          <w:sz w:val="32"/>
          <w:szCs w:val="32"/>
          <w:lang w:val="en-US" w:eastAsia="zh-CN"/>
          <w14:textFill>
            <w14:solidFill>
              <w14:schemeClr w14:val="tx1"/>
            </w14:solidFill>
          </w14:textFill>
        </w:rPr>
        <w:t xml:space="preserve"> </w:t>
      </w:r>
      <w:r>
        <w:rPr>
          <w:rFonts w:hint="eastAsia" w:ascii="黑体" w:hAnsi="黑体" w:eastAsia="黑体" w:cs="黑体"/>
          <w:color w:val="000000" w:themeColor="text1"/>
          <w:spacing w:val="5"/>
          <w:sz w:val="32"/>
          <w:szCs w:val="32"/>
          <w:lang w:eastAsia="zh-CN"/>
          <w14:textFill>
            <w14:solidFill>
              <w14:schemeClr w14:val="tx1"/>
            </w14:solidFill>
          </w14:textFill>
        </w:rPr>
        <w:t>经办</w:t>
      </w:r>
      <w:r>
        <w:rPr>
          <w:rFonts w:ascii="黑体" w:hAnsi="黑体" w:eastAsia="黑体" w:cs="黑体"/>
          <w:color w:val="000000" w:themeColor="text1"/>
          <w:spacing w:val="5"/>
          <w:sz w:val="32"/>
          <w:szCs w:val="32"/>
          <w14:textFill>
            <w14:solidFill>
              <w14:schemeClr w14:val="tx1"/>
            </w14:solidFill>
          </w14:textFill>
        </w:rPr>
        <w:t>服务</w:t>
      </w:r>
      <w:r>
        <w:rPr>
          <w:rFonts w:hint="eastAsia" w:ascii="黑体" w:hAnsi="黑体" w:eastAsia="黑体" w:cs="黑体"/>
          <w:color w:val="000000" w:themeColor="text1"/>
          <w:spacing w:val="5"/>
          <w:sz w:val="32"/>
          <w:szCs w:val="32"/>
          <w:lang w:eastAsia="zh-CN"/>
          <w14:textFill>
            <w14:solidFill>
              <w14:schemeClr w14:val="tx1"/>
            </w14:solidFill>
          </w14:textFill>
        </w:rPr>
        <w:t>管理</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val="0"/>
          <w:snapToGrid w:val="0"/>
          <w:color w:val="000000" w:themeColor="text1"/>
          <w:spacing w:val="1"/>
          <w:kern w:val="0"/>
          <w:sz w:val="32"/>
          <w:szCs w:val="32"/>
          <w:lang w:val="en-US" w:eastAsia="zh-CN" w:bidi="ar-SA"/>
          <w14:textFill>
            <w14:solidFill>
              <w14:schemeClr w14:val="tx1"/>
            </w14:solidFill>
          </w14:textFill>
        </w:rPr>
        <w:t>第二十五条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省医保</w:t>
      </w:r>
      <w:r>
        <w:rPr>
          <w:rFonts w:hint="eastAsia" w:ascii="仿宋_GB2312" w:hAnsi="仿宋_GB2312" w:eastAsia="仿宋_GB2312" w:cs="仿宋_GB2312"/>
          <w:color w:val="000000" w:themeColor="text1"/>
          <w:sz w:val="32"/>
          <w:szCs w:val="32"/>
          <w14:textFill>
            <w14:solidFill>
              <w14:schemeClr w14:val="tx1"/>
            </w14:solidFill>
          </w14:textFill>
        </w:rPr>
        <w:t>经办机构应及时全面掌握定点</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w:t>
      </w:r>
      <w:r>
        <w:rPr>
          <w:rFonts w:hint="eastAsia" w:ascii="仿宋_GB2312" w:hAnsi="仿宋_GB2312" w:eastAsia="仿宋_GB2312" w:cs="仿宋_GB2312"/>
          <w:color w:val="000000" w:themeColor="text1"/>
          <w:sz w:val="32"/>
          <w:szCs w:val="32"/>
          <w14:textFill>
            <w14:solidFill>
              <w14:schemeClr w14:val="tx1"/>
            </w14:solidFill>
          </w14:textFill>
        </w:rPr>
        <w:t>机构运行管理情况，从定点</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w:t>
      </w:r>
      <w:r>
        <w:rPr>
          <w:rFonts w:hint="eastAsia" w:ascii="仿宋_GB2312" w:hAnsi="仿宋_GB2312" w:eastAsia="仿宋_GB2312" w:cs="仿宋_GB2312"/>
          <w:color w:val="000000" w:themeColor="text1"/>
          <w:sz w:val="32"/>
          <w:szCs w:val="32"/>
          <w14:textFill>
            <w14:solidFill>
              <w14:schemeClr w14:val="tx1"/>
            </w14:solidFill>
          </w14:textFill>
        </w:rPr>
        <w:t>机构获得服务质量检查、</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w:t>
      </w:r>
      <w:r>
        <w:rPr>
          <w:rFonts w:hint="eastAsia" w:ascii="仿宋_GB2312" w:hAnsi="仿宋_GB2312" w:eastAsia="仿宋_GB2312" w:cs="仿宋_GB2312"/>
          <w:color w:val="000000" w:themeColor="text1"/>
          <w:sz w:val="32"/>
          <w:szCs w:val="32"/>
          <w14:textFill>
            <w14:solidFill>
              <w14:schemeClr w14:val="tx1"/>
            </w14:solidFill>
          </w14:textFill>
        </w:rPr>
        <w:t>费用审核、绩效考核和财务记账等所需资料。</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黑体" w:hAnsi="黑体" w:eastAsia="黑体" w:cs="黑体"/>
          <w:b w:val="0"/>
          <w:bCs w:val="0"/>
          <w:snapToGrid w:val="0"/>
          <w:color w:val="000000" w:themeColor="text1"/>
          <w:spacing w:val="1"/>
          <w:kern w:val="0"/>
          <w:sz w:val="32"/>
          <w:szCs w:val="32"/>
          <w:lang w:val="en-US" w:eastAsia="zh-CN" w:bidi="ar-SA"/>
          <w14:textFill>
            <w14:solidFill>
              <w14:schemeClr w14:val="tx1"/>
            </w14:solidFill>
          </w14:textFill>
        </w:rPr>
        <w:t>第二十六条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省医保</w:t>
      </w:r>
      <w:r>
        <w:rPr>
          <w:rFonts w:hint="eastAsia" w:ascii="仿宋_GB2312" w:hAnsi="仿宋_GB2312" w:eastAsia="仿宋_GB2312" w:cs="仿宋_GB2312"/>
          <w:color w:val="000000" w:themeColor="text1"/>
          <w:sz w:val="32"/>
          <w:szCs w:val="32"/>
          <w14:textFill>
            <w14:solidFill>
              <w14:schemeClr w14:val="tx1"/>
            </w14:solidFill>
          </w14:textFill>
        </w:rPr>
        <w:t>经办机构应规范服务管理行为，优化协议管理等经办流程，组织对定点</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w:t>
      </w:r>
      <w:r>
        <w:rPr>
          <w:rFonts w:hint="eastAsia" w:ascii="仿宋_GB2312" w:hAnsi="仿宋_GB2312" w:eastAsia="仿宋_GB2312" w:cs="仿宋_GB2312"/>
          <w:color w:val="000000" w:themeColor="text1"/>
          <w:sz w:val="32"/>
          <w:szCs w:val="32"/>
          <w14:textFill>
            <w14:solidFill>
              <w14:schemeClr w14:val="tx1"/>
            </w14:solidFill>
          </w14:textFill>
        </w:rPr>
        <w:t>机构进行长护险相关政策、操作流程等宣传培训，为定点</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w:t>
      </w:r>
      <w:r>
        <w:rPr>
          <w:rFonts w:hint="eastAsia" w:ascii="仿宋_GB2312" w:hAnsi="仿宋_GB2312" w:eastAsia="仿宋_GB2312" w:cs="仿宋_GB2312"/>
          <w:color w:val="000000" w:themeColor="text1"/>
          <w:sz w:val="32"/>
          <w:szCs w:val="32"/>
          <w14:textFill>
            <w14:solidFill>
              <w14:schemeClr w14:val="tx1"/>
            </w14:solidFill>
          </w14:textFill>
        </w:rPr>
        <w:t>机构和参保人员提供优质高效的经办服务。</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val="0"/>
          <w:snapToGrid w:val="0"/>
          <w:color w:val="000000" w:themeColor="text1"/>
          <w:spacing w:val="1"/>
          <w:kern w:val="0"/>
          <w:sz w:val="32"/>
          <w:szCs w:val="32"/>
          <w:lang w:val="en-US" w:eastAsia="zh-CN" w:bidi="ar-SA"/>
          <w14:textFill>
            <w14:solidFill>
              <w14:schemeClr w14:val="tx1"/>
            </w14:solidFill>
          </w14:textFill>
        </w:rPr>
        <w:t>第二十七条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省医保</w:t>
      </w:r>
      <w:r>
        <w:rPr>
          <w:rFonts w:hint="eastAsia" w:ascii="仿宋_GB2312" w:hAnsi="仿宋_GB2312" w:eastAsia="仿宋_GB2312" w:cs="仿宋_GB2312"/>
          <w:color w:val="000000" w:themeColor="text1"/>
          <w:sz w:val="32"/>
          <w:szCs w:val="32"/>
          <w14:textFill>
            <w14:solidFill>
              <w14:schemeClr w14:val="tx1"/>
            </w14:solidFill>
          </w14:textFill>
        </w:rPr>
        <w:t>经办机构应建立健全内部控制制度，明确对定点</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w:t>
      </w:r>
      <w:r>
        <w:rPr>
          <w:rFonts w:hint="eastAsia" w:ascii="仿宋_GB2312" w:hAnsi="仿宋_GB2312" w:eastAsia="仿宋_GB2312" w:cs="仿宋_GB2312"/>
          <w:color w:val="000000" w:themeColor="text1"/>
          <w:sz w:val="32"/>
          <w:szCs w:val="32"/>
          <w14:textFill>
            <w14:solidFill>
              <w14:schemeClr w14:val="tx1"/>
            </w14:solidFill>
          </w14:textFill>
        </w:rPr>
        <w:t>机构的费用审核、结算拨付等岗位责任，建立完善风险防控机制。</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b w:val="0"/>
          <w:bCs w:val="0"/>
          <w:snapToGrid w:val="0"/>
          <w:color w:val="000000" w:themeColor="text1"/>
          <w:spacing w:val="1"/>
          <w:kern w:val="0"/>
          <w:sz w:val="32"/>
          <w:szCs w:val="32"/>
          <w:lang w:val="en-US" w:eastAsia="zh-CN" w:bidi="ar-SA"/>
          <w14:textFill>
            <w14:solidFill>
              <w14:schemeClr w14:val="tx1"/>
            </w14:solidFill>
          </w14:textFill>
        </w:rPr>
        <w:t>第二十八条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参保人员</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w:t>
      </w:r>
      <w:r>
        <w:rPr>
          <w:rFonts w:hint="eastAsia" w:ascii="仿宋_GB2312" w:hAnsi="仿宋_GB2312" w:eastAsia="仿宋_GB2312" w:cs="仿宋_GB2312"/>
          <w:color w:val="000000" w:themeColor="text1"/>
          <w:sz w:val="32"/>
          <w:szCs w:val="32"/>
          <w14:textFill>
            <w14:solidFill>
              <w14:schemeClr w14:val="tx1"/>
            </w14:solidFill>
          </w14:textFill>
        </w:rPr>
        <w:t>费用中应当由长护险基金支付的部分，由</w:t>
      </w:r>
      <w:r>
        <w:rPr>
          <w:rFonts w:hint="eastAsia" w:ascii="仿宋_GB2312" w:hAnsi="仿宋_GB2312" w:eastAsia="仿宋_GB2312" w:cs="仿宋_GB2312"/>
          <w:color w:val="000000" w:themeColor="text1"/>
          <w:sz w:val="32"/>
          <w:szCs w:val="32"/>
          <w:lang w:eastAsia="zh-CN"/>
          <w14:textFill>
            <w14:solidFill>
              <w14:schemeClr w14:val="tx1"/>
            </w14:solidFill>
          </w14:textFill>
        </w:rPr>
        <w:t>所在地</w:t>
      </w:r>
      <w:r>
        <w:rPr>
          <w:rFonts w:hint="eastAsia" w:ascii="仿宋_GB2312" w:hAnsi="仿宋_GB2312" w:eastAsia="仿宋_GB2312" w:cs="仿宋_GB2312"/>
          <w:color w:val="000000" w:themeColor="text1"/>
          <w:sz w:val="32"/>
          <w:szCs w:val="32"/>
          <w14:textFill>
            <w14:solidFill>
              <w14:schemeClr w14:val="tx1"/>
            </w14:solidFill>
          </w14:textFill>
        </w:rPr>
        <w:t>医保经办机构与定点</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w:t>
      </w:r>
      <w:r>
        <w:rPr>
          <w:rFonts w:hint="eastAsia" w:ascii="仿宋_GB2312" w:hAnsi="仿宋_GB2312" w:eastAsia="仿宋_GB2312" w:cs="仿宋_GB2312"/>
          <w:color w:val="000000" w:themeColor="text1"/>
          <w:sz w:val="32"/>
          <w:szCs w:val="32"/>
          <w14:textFill>
            <w14:solidFill>
              <w14:schemeClr w14:val="tx1"/>
            </w14:solidFill>
          </w14:textFill>
        </w:rPr>
        <w:t>机构直接结算。</w:t>
      </w:r>
      <w:r>
        <w:rPr>
          <w:rFonts w:hint="eastAsia" w:ascii="仿宋_GB2312" w:hAnsi="仿宋_GB2312" w:eastAsia="仿宋_GB2312" w:cs="仿宋_GB2312"/>
          <w:color w:val="000000" w:themeColor="text1"/>
          <w:sz w:val="32"/>
          <w:szCs w:val="32"/>
          <w:lang w:eastAsia="zh-CN"/>
          <w14:textFill>
            <w14:solidFill>
              <w14:schemeClr w14:val="tx1"/>
            </w14:solidFill>
          </w14:textFill>
        </w:rPr>
        <w:t>各级</w:t>
      </w:r>
      <w:r>
        <w:rPr>
          <w:rFonts w:hint="eastAsia" w:ascii="仿宋_GB2312" w:hAnsi="仿宋_GB2312" w:eastAsia="仿宋_GB2312" w:cs="仿宋_GB2312"/>
          <w:color w:val="000000" w:themeColor="text1"/>
          <w:sz w:val="32"/>
          <w:szCs w:val="32"/>
          <w14:textFill>
            <w14:solidFill>
              <w14:schemeClr w14:val="tx1"/>
            </w14:solidFill>
          </w14:textFill>
        </w:rPr>
        <w:t>经办机构应落实长护险支付政策，强化长护险基金支出管理，通过智能审核、实时监控等方式及时审核</w:t>
      </w:r>
      <w:r>
        <w:rPr>
          <w:rFonts w:hint="eastAsia" w:ascii="仿宋_GB2312" w:hAnsi="仿宋_GB2312" w:eastAsia="仿宋_GB2312" w:cs="仿宋_GB2312"/>
          <w:color w:val="000000" w:themeColor="text1"/>
          <w:sz w:val="32"/>
          <w:szCs w:val="32"/>
          <w:lang w:eastAsia="zh-CN"/>
          <w14:textFill>
            <w14:solidFill>
              <w14:schemeClr w14:val="tx1"/>
            </w14:solidFill>
          </w14:textFill>
        </w:rPr>
        <w:t>并</w:t>
      </w:r>
      <w:r>
        <w:rPr>
          <w:rFonts w:hint="eastAsia" w:ascii="仿宋_GB2312" w:hAnsi="仿宋_GB2312" w:eastAsia="仿宋_GB2312" w:cs="仿宋_GB2312"/>
          <w:color w:val="000000" w:themeColor="text1"/>
          <w:sz w:val="32"/>
          <w:szCs w:val="32"/>
          <w14:textFill>
            <w14:solidFill>
              <w14:schemeClr w14:val="tx1"/>
            </w14:solidFill>
          </w14:textFill>
        </w:rPr>
        <w:t>及时拨付符合规定的</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w:t>
      </w:r>
      <w:r>
        <w:rPr>
          <w:rFonts w:hint="eastAsia" w:ascii="仿宋_GB2312" w:hAnsi="仿宋_GB2312" w:eastAsia="仿宋_GB2312" w:cs="仿宋_GB2312"/>
          <w:color w:val="000000" w:themeColor="text1"/>
          <w:sz w:val="32"/>
          <w:szCs w:val="32"/>
          <w14:textFill>
            <w14:solidFill>
              <w14:schemeClr w14:val="tx1"/>
            </w14:solidFill>
          </w14:textFill>
        </w:rPr>
        <w:t>费用</w:t>
      </w:r>
      <w:r>
        <w:rPr>
          <w:rFonts w:hint="eastAsia" w:ascii="仿宋_GB2312" w:hAnsi="仿宋_GB2312" w:eastAsia="仿宋_GB2312" w:cs="仿宋_GB2312"/>
          <w:color w:val="000000" w:themeColor="text1"/>
          <w:sz w:val="32"/>
          <w:szCs w:val="32"/>
          <w:lang w:eastAsia="zh-CN"/>
          <w14:textFill>
            <w14:solidFill>
              <w14:schemeClr w14:val="tx1"/>
            </w14:solidFill>
          </w14:textFill>
        </w:rPr>
        <w:t>。经办机构可预留在定点评估机构每月应拨付费用的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eastAsia="zh-CN"/>
          <w14:textFill>
            <w14:solidFill>
              <w14:schemeClr w14:val="tx1"/>
            </w14:solidFill>
          </w14:textFill>
        </w:rPr>
        <w:t>作为服务质量保证金，并根据该机构年度协议履行情况、考核结果等，进行年度清算。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val="0"/>
          <w:snapToGrid w:val="0"/>
          <w:color w:val="000000" w:themeColor="text1"/>
          <w:spacing w:val="1"/>
          <w:kern w:val="0"/>
          <w:sz w:val="32"/>
          <w:szCs w:val="32"/>
          <w:lang w:val="en-US" w:eastAsia="zh-CN" w:bidi="ar-SA"/>
          <w14:textFill>
            <w14:solidFill>
              <w14:schemeClr w14:val="tx1"/>
            </w14:solidFill>
          </w14:textFill>
        </w:rPr>
        <w:t>第二十九条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省医保</w:t>
      </w:r>
      <w:r>
        <w:rPr>
          <w:rFonts w:hint="eastAsia" w:ascii="仿宋_GB2312" w:hAnsi="仿宋_GB2312" w:eastAsia="仿宋_GB2312" w:cs="仿宋_GB2312"/>
          <w:color w:val="000000" w:themeColor="text1"/>
          <w:sz w:val="32"/>
          <w:szCs w:val="32"/>
          <w14:textFill>
            <w14:solidFill>
              <w14:schemeClr w14:val="tx1"/>
            </w14:solidFill>
          </w14:textFill>
        </w:rPr>
        <w:t>经办机构应加强定点</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w:t>
      </w:r>
      <w:r>
        <w:rPr>
          <w:rFonts w:hint="eastAsia" w:ascii="仿宋_GB2312" w:hAnsi="仿宋_GB2312" w:eastAsia="仿宋_GB2312" w:cs="仿宋_GB2312"/>
          <w:color w:val="000000" w:themeColor="text1"/>
          <w:sz w:val="32"/>
          <w:szCs w:val="32"/>
          <w14:textFill>
            <w14:solidFill>
              <w14:schemeClr w14:val="tx1"/>
            </w14:solidFill>
          </w14:textFill>
        </w:rPr>
        <w:t>机构协议履行情况的考核，考核结果与年终清算、质量保证金退还、协议续签等挂钩。考核情况应报</w:t>
      </w:r>
      <w:r>
        <w:rPr>
          <w:rFonts w:hint="eastAsia" w:ascii="仿宋_GB2312" w:hAnsi="仿宋_GB2312" w:eastAsia="仿宋_GB2312" w:cs="仿宋_GB2312"/>
          <w:color w:val="000000" w:themeColor="text1"/>
          <w:sz w:val="32"/>
          <w:szCs w:val="32"/>
          <w:lang w:eastAsia="zh-CN"/>
          <w14:textFill>
            <w14:solidFill>
              <w14:schemeClr w14:val="tx1"/>
            </w14:solidFill>
          </w14:textFill>
        </w:rPr>
        <w:t>省医保行政部门</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黑体" w:hAnsi="黑体" w:eastAsia="黑体" w:cs="黑体"/>
          <w:b w:val="0"/>
          <w:bCs w:val="0"/>
          <w:snapToGrid w:val="0"/>
          <w:color w:val="000000" w:themeColor="text1"/>
          <w:spacing w:val="1"/>
          <w:kern w:val="0"/>
          <w:sz w:val="32"/>
          <w:szCs w:val="32"/>
          <w:lang w:val="en-US" w:eastAsia="zh-CN" w:bidi="ar-SA"/>
          <w14:textFill>
            <w14:solidFill>
              <w14:schemeClr w14:val="tx1"/>
            </w14:solidFill>
          </w14:textFill>
        </w:rPr>
        <w:t>第三十条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省医保</w:t>
      </w:r>
      <w:r>
        <w:rPr>
          <w:rFonts w:hint="eastAsia" w:ascii="仿宋_GB2312" w:hAnsi="仿宋_GB2312" w:eastAsia="仿宋_GB2312" w:cs="仿宋_GB2312"/>
          <w:color w:val="000000" w:themeColor="text1"/>
          <w:sz w:val="32"/>
          <w:szCs w:val="32"/>
          <w14:textFill>
            <w14:solidFill>
              <w14:schemeClr w14:val="tx1"/>
            </w14:solidFill>
          </w14:textFill>
        </w:rPr>
        <w:t>经办机构发现定点</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w:t>
      </w:r>
      <w:r>
        <w:rPr>
          <w:rFonts w:hint="eastAsia" w:ascii="仿宋_GB2312" w:hAnsi="仿宋_GB2312" w:eastAsia="仿宋_GB2312" w:cs="仿宋_GB2312"/>
          <w:color w:val="000000" w:themeColor="text1"/>
          <w:sz w:val="32"/>
          <w:szCs w:val="32"/>
          <w14:textFill>
            <w14:solidFill>
              <w14:schemeClr w14:val="tx1"/>
            </w14:solidFill>
          </w14:textFill>
        </w:rPr>
        <w:t>机构存在违反协议约定情形的，可按协议约定相应采取以下处理方式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约谈定点</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w:t>
      </w:r>
      <w:r>
        <w:rPr>
          <w:rFonts w:hint="eastAsia" w:ascii="仿宋_GB2312" w:hAnsi="仿宋_GB2312" w:eastAsia="仿宋_GB2312" w:cs="仿宋_GB2312"/>
          <w:color w:val="000000" w:themeColor="text1"/>
          <w:sz w:val="32"/>
          <w:szCs w:val="32"/>
          <w14:textFill>
            <w14:solidFill>
              <w14:schemeClr w14:val="tx1"/>
            </w14:solidFill>
          </w14:textFill>
        </w:rPr>
        <w:t>机构法定代表人、主要负责人或实际控制人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暂停或不予拨付长护险</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w:t>
      </w:r>
      <w:r>
        <w:rPr>
          <w:rFonts w:hint="eastAsia" w:ascii="仿宋_GB2312" w:hAnsi="仿宋_GB2312" w:eastAsia="仿宋_GB2312" w:cs="仿宋_GB2312"/>
          <w:color w:val="000000" w:themeColor="text1"/>
          <w:sz w:val="32"/>
          <w:szCs w:val="32"/>
          <w14:textFill>
            <w14:solidFill>
              <w14:schemeClr w14:val="tx1"/>
            </w14:solidFill>
          </w14:textFill>
        </w:rPr>
        <w:t>费用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追回已支付的长护险</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w:t>
      </w:r>
      <w:r>
        <w:rPr>
          <w:rFonts w:hint="eastAsia" w:ascii="仿宋_GB2312" w:hAnsi="仿宋_GB2312" w:eastAsia="仿宋_GB2312" w:cs="仿宋_GB2312"/>
          <w:color w:val="000000" w:themeColor="text1"/>
          <w:sz w:val="32"/>
          <w:szCs w:val="32"/>
          <w14:textFill>
            <w14:solidFill>
              <w14:schemeClr w14:val="tx1"/>
            </w14:solidFill>
          </w14:textFill>
        </w:rPr>
        <w:t>费用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要求定点</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w:t>
      </w:r>
      <w:r>
        <w:rPr>
          <w:rFonts w:hint="eastAsia" w:ascii="仿宋_GB2312" w:hAnsi="仿宋_GB2312" w:eastAsia="仿宋_GB2312" w:cs="仿宋_GB2312"/>
          <w:color w:val="000000" w:themeColor="text1"/>
          <w:sz w:val="32"/>
          <w:szCs w:val="32"/>
          <w14:textFill>
            <w14:solidFill>
              <w14:schemeClr w14:val="tx1"/>
            </w14:solidFill>
          </w14:textFill>
        </w:rPr>
        <w:t>机构按照协议约定支付违约金</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14:textFill>
            <w14:solidFill>
              <w14:schemeClr w14:val="tx1"/>
            </w14:solidFill>
          </w14:textFill>
        </w:rPr>
        <w:t>中止相关责任方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人员</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提供涉及长护险基金使用的</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w:t>
      </w:r>
      <w:r>
        <w:rPr>
          <w:rFonts w:hint="eastAsia" w:ascii="仿宋_GB2312" w:hAnsi="仿宋_GB2312" w:eastAsia="仿宋_GB2312" w:cs="仿宋_GB2312"/>
          <w:color w:val="000000" w:themeColor="text1"/>
          <w:sz w:val="32"/>
          <w:szCs w:val="32"/>
          <w14:textFill>
            <w14:solidFill>
              <w14:schemeClr w14:val="tx1"/>
            </w14:solidFill>
          </w14:textFill>
        </w:rPr>
        <w:t>服务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14:textFill>
            <w14:solidFill>
              <w14:schemeClr w14:val="tx1"/>
            </w14:solidFill>
          </w14:textFill>
        </w:rPr>
        <w:t>中止或解除协议。</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val="0"/>
          <w:snapToGrid w:val="0"/>
          <w:color w:val="000000" w:themeColor="text1"/>
          <w:spacing w:val="1"/>
          <w:kern w:val="0"/>
          <w:sz w:val="32"/>
          <w:szCs w:val="32"/>
          <w:lang w:val="en-US" w:eastAsia="zh-CN" w:bidi="ar-SA"/>
          <w14:textFill>
            <w14:solidFill>
              <w14:schemeClr w14:val="tx1"/>
            </w14:solidFill>
          </w14:textFill>
        </w:rPr>
        <w:t>第三十一条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省</w:t>
      </w:r>
      <w:r>
        <w:rPr>
          <w:rFonts w:hint="eastAsia" w:ascii="仿宋_GB2312" w:hAnsi="仿宋_GB2312" w:eastAsia="仿宋_GB2312" w:cs="仿宋_GB2312"/>
          <w:color w:val="000000" w:themeColor="text1"/>
          <w:sz w:val="32"/>
          <w:szCs w:val="32"/>
          <w:lang w:eastAsia="zh-CN"/>
          <w14:textFill>
            <w14:solidFill>
              <w14:schemeClr w14:val="tx1"/>
            </w14:solidFill>
          </w14:textFill>
        </w:rPr>
        <w:t>医保</w:t>
      </w:r>
      <w:r>
        <w:rPr>
          <w:rFonts w:hint="eastAsia" w:ascii="仿宋_GB2312" w:hAnsi="仿宋_GB2312" w:eastAsia="仿宋_GB2312" w:cs="仿宋_GB2312"/>
          <w:color w:val="000000" w:themeColor="text1"/>
          <w:sz w:val="32"/>
          <w:szCs w:val="32"/>
          <w14:textFill>
            <w14:solidFill>
              <w14:schemeClr w14:val="tx1"/>
            </w14:solidFill>
          </w14:textFill>
        </w:rPr>
        <w:t>经办机构违反</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评估服务协议</w:t>
      </w:r>
      <w:r>
        <w:rPr>
          <w:rFonts w:hint="eastAsia" w:ascii="仿宋_GB2312" w:hAnsi="仿宋_GB2312" w:eastAsia="仿宋_GB2312" w:cs="仿宋_GB2312"/>
          <w:color w:val="000000" w:themeColor="text1"/>
          <w:sz w:val="32"/>
          <w:szCs w:val="32"/>
          <w14:textFill>
            <w14:solidFill>
              <w14:schemeClr w14:val="tx1"/>
            </w14:solidFill>
          </w14:textFill>
        </w:rPr>
        <w:t>的，定点</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w:t>
      </w:r>
      <w:r>
        <w:rPr>
          <w:rFonts w:hint="eastAsia" w:ascii="仿宋_GB2312" w:hAnsi="仿宋_GB2312" w:eastAsia="仿宋_GB2312" w:cs="仿宋_GB2312"/>
          <w:color w:val="000000" w:themeColor="text1"/>
          <w:sz w:val="32"/>
          <w:szCs w:val="32"/>
          <w14:textFill>
            <w14:solidFill>
              <w14:schemeClr w14:val="tx1"/>
            </w14:solidFill>
          </w14:textFill>
        </w:rPr>
        <w:t>机构有权要求纠正，或者提请</w:t>
      </w:r>
      <w:r>
        <w:rPr>
          <w:rFonts w:hint="eastAsia" w:ascii="仿宋_GB2312" w:hAnsi="仿宋_GB2312" w:eastAsia="仿宋_GB2312" w:cs="仿宋_GB2312"/>
          <w:color w:val="000000" w:themeColor="text1"/>
          <w:sz w:val="32"/>
          <w:szCs w:val="32"/>
          <w:lang w:eastAsia="zh-CN"/>
          <w14:textFill>
            <w14:solidFill>
              <w14:schemeClr w14:val="tx1"/>
            </w14:solidFill>
          </w14:textFill>
        </w:rPr>
        <w:t>省医保行政部门</w:t>
      </w:r>
      <w:r>
        <w:rPr>
          <w:rFonts w:hint="eastAsia" w:ascii="仿宋_GB2312" w:hAnsi="仿宋_GB2312" w:eastAsia="仿宋_GB2312" w:cs="仿宋_GB2312"/>
          <w:color w:val="000000" w:themeColor="text1"/>
          <w:sz w:val="32"/>
          <w:szCs w:val="32"/>
          <w14:textFill>
            <w14:solidFill>
              <w14:schemeClr w14:val="tx1"/>
            </w14:solidFill>
          </w14:textFill>
        </w:rPr>
        <w:t>协调处理、督促整改，也可以依法申请行政复议或者提起行政诉讼。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省医保行政部门</w:t>
      </w:r>
      <w:r>
        <w:rPr>
          <w:rFonts w:hint="eastAsia" w:ascii="仿宋_GB2312" w:hAnsi="仿宋_GB2312" w:eastAsia="仿宋_GB2312" w:cs="仿宋_GB2312"/>
          <w:color w:val="000000" w:themeColor="text1"/>
          <w:sz w:val="32"/>
          <w:szCs w:val="32"/>
          <w14:textFill>
            <w14:solidFill>
              <w14:schemeClr w14:val="tx1"/>
            </w14:solidFill>
          </w14:textFill>
        </w:rPr>
        <w:t>发现</w:t>
      </w:r>
      <w:r>
        <w:rPr>
          <w:rFonts w:hint="eastAsia" w:ascii="仿宋_GB2312" w:hAnsi="仿宋_GB2312" w:eastAsia="仿宋_GB2312" w:cs="仿宋_GB2312"/>
          <w:color w:val="000000" w:themeColor="text1"/>
          <w:sz w:val="32"/>
          <w:szCs w:val="32"/>
          <w:lang w:eastAsia="zh-CN"/>
          <w14:textFill>
            <w14:solidFill>
              <w14:schemeClr w14:val="tx1"/>
            </w14:solidFill>
          </w14:textFill>
        </w:rPr>
        <w:t>省医保</w:t>
      </w:r>
      <w:r>
        <w:rPr>
          <w:rFonts w:hint="eastAsia" w:ascii="仿宋_GB2312" w:hAnsi="仿宋_GB2312" w:eastAsia="仿宋_GB2312" w:cs="仿宋_GB2312"/>
          <w:color w:val="000000" w:themeColor="text1"/>
          <w:sz w:val="32"/>
          <w:szCs w:val="32"/>
          <w14:textFill>
            <w14:solidFill>
              <w14:schemeClr w14:val="tx1"/>
            </w14:solidFill>
          </w14:textFill>
        </w:rPr>
        <w:t>经办机构存在违反</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评估服务协议</w:t>
      </w:r>
      <w:r>
        <w:rPr>
          <w:rFonts w:hint="eastAsia" w:ascii="仿宋_GB2312" w:hAnsi="仿宋_GB2312" w:eastAsia="仿宋_GB2312" w:cs="仿宋_GB2312"/>
          <w:color w:val="000000" w:themeColor="text1"/>
          <w:sz w:val="32"/>
          <w:szCs w:val="32"/>
          <w14:textFill>
            <w14:solidFill>
              <w14:schemeClr w14:val="tx1"/>
            </w14:solidFill>
          </w14:textFill>
        </w:rPr>
        <w:t>的，可视情节相应采取以下处理方式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约谈、限期整改、通报批评，对相关责任人员依法依规给予</w:t>
      </w:r>
      <w:r>
        <w:rPr>
          <w:rFonts w:hint="eastAsia" w:ascii="仿宋_GB2312" w:hAnsi="仿宋_GB2312" w:eastAsia="仿宋_GB2312" w:cs="仿宋_GB2312"/>
          <w:color w:val="000000" w:themeColor="text1"/>
          <w:sz w:val="32"/>
          <w:szCs w:val="32"/>
          <w:lang w:eastAsia="zh-CN"/>
          <w14:textFill>
            <w14:solidFill>
              <w14:schemeClr w14:val="tx1"/>
            </w14:solidFill>
          </w14:textFill>
        </w:rPr>
        <w:t>处理。</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ascii="黑体" w:hAnsi="黑体" w:eastAsia="黑体" w:cs="黑体"/>
          <w:color w:val="000000" w:themeColor="text1"/>
          <w:spacing w:val="3"/>
          <w:sz w:val="31"/>
          <w:szCs w:val="3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黑体" w:hAnsi="黑体" w:eastAsia="黑体" w:cs="黑体"/>
          <w:color w:val="000000" w:themeColor="text1"/>
          <w:spacing w:val="3"/>
          <w:sz w:val="32"/>
          <w:szCs w:val="32"/>
          <w:lang w:val="en-US" w:eastAsia="zh-CN"/>
          <w14:textFill>
            <w14:solidFill>
              <w14:schemeClr w14:val="tx1"/>
            </w14:solidFill>
          </w14:textFill>
        </w:rPr>
      </w:pPr>
      <w:r>
        <w:rPr>
          <w:rFonts w:ascii="黑体" w:hAnsi="黑体" w:eastAsia="黑体" w:cs="黑体"/>
          <w:color w:val="000000" w:themeColor="text1"/>
          <w:spacing w:val="3"/>
          <w:sz w:val="32"/>
          <w:szCs w:val="32"/>
          <w14:textFill>
            <w14:solidFill>
              <w14:schemeClr w14:val="tx1"/>
            </w14:solidFill>
          </w14:textFill>
        </w:rPr>
        <w:t>第五章</w:t>
      </w:r>
      <w:r>
        <w:rPr>
          <w:rFonts w:hint="eastAsia" w:ascii="黑体" w:hAnsi="黑体" w:eastAsia="黑体" w:cs="黑体"/>
          <w:color w:val="000000" w:themeColor="text1"/>
          <w:spacing w:val="3"/>
          <w:sz w:val="32"/>
          <w:szCs w:val="32"/>
          <w:lang w:val="en-US" w:eastAsia="zh-CN"/>
          <w14:textFill>
            <w14:solidFill>
              <w14:schemeClr w14:val="tx1"/>
            </w14:solidFill>
          </w14:textFill>
        </w:rPr>
        <w:t xml:space="preserve"> </w:t>
      </w:r>
      <w:r>
        <w:rPr>
          <w:rFonts w:hint="eastAsia" w:ascii="黑体" w:hAnsi="黑体" w:eastAsia="黑体" w:cs="黑体"/>
          <w:color w:val="000000" w:themeColor="text1"/>
          <w:spacing w:val="3"/>
          <w:sz w:val="32"/>
          <w:szCs w:val="32"/>
          <w:lang w:val="en-US" w:eastAsia="zh-CN"/>
          <w14:textFill>
            <w14:solidFill>
              <w14:schemeClr w14:val="tx1"/>
            </w14:solidFill>
          </w14:textFill>
        </w:rPr>
        <w:t xml:space="preserve"> </w:t>
      </w:r>
      <w:r>
        <w:rPr>
          <w:rFonts w:hint="eastAsia" w:ascii="黑体" w:hAnsi="黑体" w:eastAsia="黑体" w:cs="黑体"/>
          <w:color w:val="000000" w:themeColor="text1"/>
          <w:spacing w:val="3"/>
          <w:sz w:val="32"/>
          <w:szCs w:val="32"/>
          <w:lang w:val="en-US" w:eastAsia="zh-CN"/>
          <w14:textFill>
            <w14:solidFill>
              <w14:schemeClr w14:val="tx1"/>
            </w14:solidFill>
          </w14:textFill>
        </w:rPr>
        <w:t>定点评估机构动态管理</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snapToGrid w:val="0"/>
          <w:color w:val="000000" w:themeColor="text1"/>
          <w:spacing w:val="1"/>
          <w:kern w:val="0"/>
          <w:sz w:val="32"/>
          <w:szCs w:val="32"/>
          <w:lang w:val="en-US" w:eastAsia="zh-CN" w:bidi="ar-SA"/>
          <w14:textFill>
            <w14:solidFill>
              <w14:schemeClr w14:val="tx1"/>
            </w14:solidFill>
          </w14:textFill>
        </w:rPr>
        <w:t>第三十二条</w:t>
      </w: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en-US" w:bidi="ar-SA"/>
          <w14:textFill>
            <w14:solidFill>
              <w14:schemeClr w14:val="tx1"/>
            </w14:solidFill>
          </w14:textFill>
        </w:rPr>
        <w:t>定点评估机构的名称、法定代表人、主要负责人或实际控制人、注册地址、银行账户、经营范围、机构性质等重大信息变更时，应自有关部门批准之日起30个工作日内向</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所在地医保经办机构</w:t>
      </w:r>
      <w:r>
        <w:rPr>
          <w:rFonts w:hint="eastAsia" w:ascii="仿宋_GB2312" w:hAnsi="仿宋_GB2312" w:eastAsia="仿宋_GB2312" w:cs="仿宋_GB2312"/>
          <w:color w:val="000000" w:themeColor="text1"/>
          <w:kern w:val="2"/>
          <w:sz w:val="32"/>
          <w:szCs w:val="32"/>
          <w:lang w:val="en-US" w:eastAsia="en-US" w:bidi="ar-SA"/>
          <w14:textFill>
            <w14:solidFill>
              <w14:schemeClr w14:val="tx1"/>
            </w14:solidFill>
          </w14:textFill>
        </w:rPr>
        <w:t>提出变更申请。其他一般信息变更应及时书面告知。信息变更后，定点评估机构不符合本</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细则</w:t>
      </w:r>
      <w:r>
        <w:rPr>
          <w:rFonts w:hint="eastAsia" w:ascii="仿宋_GB2312" w:hAnsi="仿宋_GB2312" w:eastAsia="仿宋_GB2312" w:cs="仿宋_GB2312"/>
          <w:color w:val="000000" w:themeColor="text1"/>
          <w:kern w:val="2"/>
          <w:sz w:val="32"/>
          <w:szCs w:val="32"/>
          <w:lang w:val="en-US" w:eastAsia="en-US" w:bidi="ar-SA"/>
          <w14:textFill>
            <w14:solidFill>
              <w14:schemeClr w14:val="tx1"/>
            </w14:solidFill>
          </w14:textFill>
        </w:rPr>
        <w:t>规定的，应当解除评估协议。</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定点评估机构因违规被调查、处理期间不得申请变更信息。</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val="0"/>
          <w:snapToGrid w:val="0"/>
          <w:color w:val="000000" w:themeColor="text1"/>
          <w:spacing w:val="1"/>
          <w:kern w:val="0"/>
          <w:sz w:val="32"/>
          <w:szCs w:val="32"/>
          <w:lang w:val="en-US" w:eastAsia="zh-CN" w:bidi="ar-SA"/>
          <w14:textFill>
            <w14:solidFill>
              <w14:schemeClr w14:val="tx1"/>
            </w14:solidFill>
          </w14:textFill>
        </w:rPr>
        <w:t>第三十三条</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协议续签由定点</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w:t>
      </w:r>
      <w:r>
        <w:rPr>
          <w:rFonts w:hint="eastAsia" w:ascii="仿宋_GB2312" w:hAnsi="仿宋_GB2312" w:eastAsia="仿宋_GB2312" w:cs="仿宋_GB2312"/>
          <w:color w:val="000000" w:themeColor="text1"/>
          <w:sz w:val="32"/>
          <w:szCs w:val="32"/>
          <w14:textFill>
            <w14:solidFill>
              <w14:schemeClr w14:val="tx1"/>
            </w14:solidFill>
          </w14:textFill>
        </w:rPr>
        <w:t>机构提前3个月向</w:t>
      </w:r>
      <w:r>
        <w:rPr>
          <w:rFonts w:hint="eastAsia" w:ascii="仿宋_GB2312" w:hAnsi="仿宋_GB2312" w:eastAsia="仿宋_GB2312" w:cs="仿宋_GB2312"/>
          <w:color w:val="000000" w:themeColor="text1"/>
          <w:sz w:val="32"/>
          <w:szCs w:val="32"/>
          <w:lang w:eastAsia="zh-CN"/>
          <w14:textFill>
            <w14:solidFill>
              <w14:schemeClr w14:val="tx1"/>
            </w14:solidFill>
          </w14:textFill>
        </w:rPr>
        <w:t>省医保</w:t>
      </w:r>
      <w:r>
        <w:rPr>
          <w:rFonts w:hint="eastAsia" w:ascii="仿宋_GB2312" w:hAnsi="仿宋_GB2312" w:eastAsia="仿宋_GB2312" w:cs="仿宋_GB2312"/>
          <w:color w:val="000000" w:themeColor="text1"/>
          <w:sz w:val="32"/>
          <w:szCs w:val="32"/>
          <w14:textFill>
            <w14:solidFill>
              <w14:schemeClr w14:val="tx1"/>
            </w14:solidFill>
          </w14:textFill>
        </w:rPr>
        <w:t>经办机构提出申请。</w:t>
      </w:r>
      <w:r>
        <w:rPr>
          <w:rFonts w:hint="eastAsia" w:ascii="仿宋_GB2312" w:hAnsi="仿宋_GB2312" w:eastAsia="仿宋_GB2312" w:cs="仿宋_GB2312"/>
          <w:color w:val="000000" w:themeColor="text1"/>
          <w:sz w:val="32"/>
          <w:szCs w:val="32"/>
          <w:lang w:eastAsia="zh-CN"/>
          <w14:textFill>
            <w14:solidFill>
              <w14:schemeClr w14:val="tx1"/>
            </w14:solidFill>
          </w14:textFill>
        </w:rPr>
        <w:t>省医保</w:t>
      </w:r>
      <w:r>
        <w:rPr>
          <w:rFonts w:hint="eastAsia" w:ascii="仿宋_GB2312" w:hAnsi="仿宋_GB2312" w:eastAsia="仿宋_GB2312" w:cs="仿宋_GB2312"/>
          <w:color w:val="000000" w:themeColor="text1"/>
          <w:sz w:val="32"/>
          <w:szCs w:val="32"/>
          <w14:textFill>
            <w14:solidFill>
              <w14:schemeClr w14:val="tx1"/>
            </w14:solidFill>
          </w14:textFill>
        </w:rPr>
        <w:t>经办机构和定点</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w:t>
      </w:r>
      <w:r>
        <w:rPr>
          <w:rFonts w:hint="eastAsia" w:ascii="仿宋_GB2312" w:hAnsi="仿宋_GB2312" w:eastAsia="仿宋_GB2312" w:cs="仿宋_GB2312"/>
          <w:color w:val="000000" w:themeColor="text1"/>
          <w:sz w:val="32"/>
          <w:szCs w:val="32"/>
          <w14:textFill>
            <w14:solidFill>
              <w14:schemeClr w14:val="tx1"/>
            </w14:solidFill>
          </w14:textFill>
        </w:rPr>
        <w:t>机构就协议续签事宜进行协商谈判，双方根据协议履行情况和考核情况等决定是否续签。协商一致的可续签协议，未达成一致的，协议到期后自动终止。</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val="0"/>
          <w:snapToGrid w:val="0"/>
          <w:color w:val="000000" w:themeColor="text1"/>
          <w:spacing w:val="1"/>
          <w:kern w:val="0"/>
          <w:sz w:val="31"/>
          <w:szCs w:val="31"/>
          <w:lang w:val="en-US" w:eastAsia="zh-CN" w:bidi="ar-SA"/>
          <w14:textFill>
            <w14:solidFill>
              <w14:schemeClr w14:val="tx1"/>
            </w14:solidFill>
          </w14:textFill>
        </w:rPr>
        <w:t>第三十四条</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评估协议</w:t>
      </w:r>
      <w:r>
        <w:rPr>
          <w:rFonts w:hint="eastAsia" w:ascii="仿宋_GB2312" w:hAnsi="仿宋_GB2312" w:eastAsia="仿宋_GB2312" w:cs="仿宋_GB2312"/>
          <w:color w:val="000000" w:themeColor="text1"/>
          <w:sz w:val="32"/>
          <w:szCs w:val="32"/>
          <w14:textFill>
            <w14:solidFill>
              <w14:schemeClr w14:val="tx1"/>
            </w14:solidFill>
          </w14:textFill>
        </w:rPr>
        <w:t>中止是指</w:t>
      </w:r>
      <w:r>
        <w:rPr>
          <w:rFonts w:hint="eastAsia" w:ascii="仿宋_GB2312" w:hAnsi="仿宋_GB2312" w:eastAsia="仿宋_GB2312" w:cs="仿宋_GB2312"/>
          <w:color w:val="000000" w:themeColor="text1"/>
          <w:sz w:val="32"/>
          <w:szCs w:val="32"/>
          <w:lang w:eastAsia="zh-CN"/>
          <w14:textFill>
            <w14:solidFill>
              <w14:schemeClr w14:val="tx1"/>
            </w14:solidFill>
          </w14:textFill>
        </w:rPr>
        <w:t>省医保</w:t>
      </w:r>
      <w:r>
        <w:rPr>
          <w:rFonts w:hint="eastAsia" w:ascii="仿宋_GB2312" w:hAnsi="仿宋_GB2312" w:eastAsia="仿宋_GB2312" w:cs="仿宋_GB2312"/>
          <w:color w:val="000000" w:themeColor="text1"/>
          <w:sz w:val="32"/>
          <w:szCs w:val="32"/>
          <w14:textFill>
            <w14:solidFill>
              <w14:schemeClr w14:val="tx1"/>
            </w14:solidFill>
          </w14:textFill>
        </w:rPr>
        <w:t>经办机构与定点</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w:t>
      </w:r>
      <w:r>
        <w:rPr>
          <w:rFonts w:hint="eastAsia" w:ascii="仿宋_GB2312" w:hAnsi="仿宋_GB2312" w:eastAsia="仿宋_GB2312" w:cs="仿宋_GB2312"/>
          <w:color w:val="000000" w:themeColor="text1"/>
          <w:sz w:val="32"/>
          <w:szCs w:val="32"/>
          <w14:textFill>
            <w14:solidFill>
              <w14:schemeClr w14:val="tx1"/>
            </w14:solidFill>
          </w14:textFill>
        </w:rPr>
        <w:t>机构暂停履行</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评估协议</w:t>
      </w:r>
      <w:r>
        <w:rPr>
          <w:rFonts w:hint="eastAsia" w:ascii="仿宋_GB2312" w:hAnsi="仿宋_GB2312" w:eastAsia="仿宋_GB2312" w:cs="仿宋_GB2312"/>
          <w:color w:val="000000" w:themeColor="text1"/>
          <w:sz w:val="32"/>
          <w:szCs w:val="32"/>
          <w14:textFill>
            <w14:solidFill>
              <w14:schemeClr w14:val="tx1"/>
            </w14:solidFill>
          </w14:textFill>
        </w:rPr>
        <w:t>约定，中止期间发生的</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w:t>
      </w:r>
      <w:r>
        <w:rPr>
          <w:rFonts w:hint="eastAsia" w:ascii="仿宋_GB2312" w:hAnsi="仿宋_GB2312" w:eastAsia="仿宋_GB2312" w:cs="仿宋_GB2312"/>
          <w:color w:val="000000" w:themeColor="text1"/>
          <w:sz w:val="32"/>
          <w:szCs w:val="32"/>
          <w14:textFill>
            <w14:solidFill>
              <w14:schemeClr w14:val="tx1"/>
            </w14:solidFill>
          </w14:textFill>
        </w:rPr>
        <w:t>费用不予结算。中止期结束时，协议未到期的，协议继续履行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协议到期的，协议终止。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定点评估机构可提出中止评估协议申请，经</w:t>
      </w:r>
      <w:r>
        <w:rPr>
          <w:rFonts w:hint="eastAsia" w:ascii="仿宋_GB2312" w:hAnsi="仿宋_GB2312" w:eastAsia="仿宋_GB2312" w:cs="仿宋_GB2312"/>
          <w:color w:val="000000" w:themeColor="text1"/>
          <w:sz w:val="32"/>
          <w:szCs w:val="32"/>
          <w:lang w:eastAsia="zh-CN"/>
          <w14:textFill>
            <w14:solidFill>
              <w14:schemeClr w14:val="tx1"/>
            </w14:solidFill>
          </w14:textFill>
        </w:rPr>
        <w:t>省医保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经办机构同意，可以中止评估协议但中止时间原则上不得超过6个月，定点评估机构在评估协议中止超过6个月仍未提出继续履行评估协议申请的，原则上评估协议自动终止。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定点</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w:t>
      </w:r>
      <w:r>
        <w:rPr>
          <w:rFonts w:hint="eastAsia" w:ascii="仿宋_GB2312" w:hAnsi="仿宋_GB2312" w:eastAsia="仿宋_GB2312" w:cs="仿宋_GB2312"/>
          <w:color w:val="000000" w:themeColor="text1"/>
          <w:sz w:val="32"/>
          <w:szCs w:val="32"/>
          <w14:textFill>
            <w14:solidFill>
              <w14:schemeClr w14:val="tx1"/>
            </w14:solidFill>
          </w14:textFill>
        </w:rPr>
        <w:t>机构有下列情形之一的，</w:t>
      </w:r>
      <w:r>
        <w:rPr>
          <w:rFonts w:hint="eastAsia" w:ascii="仿宋_GB2312" w:hAnsi="仿宋_GB2312" w:eastAsia="仿宋_GB2312" w:cs="仿宋_GB2312"/>
          <w:color w:val="000000" w:themeColor="text1"/>
          <w:sz w:val="32"/>
          <w:szCs w:val="32"/>
          <w:lang w:eastAsia="zh-CN"/>
          <w14:textFill>
            <w14:solidFill>
              <w14:schemeClr w14:val="tx1"/>
            </w14:solidFill>
          </w14:textFill>
        </w:rPr>
        <w:t>省医保</w:t>
      </w:r>
      <w:r>
        <w:rPr>
          <w:rFonts w:hint="eastAsia" w:ascii="仿宋_GB2312" w:hAnsi="仿宋_GB2312" w:eastAsia="仿宋_GB2312" w:cs="仿宋_GB2312"/>
          <w:color w:val="000000" w:themeColor="text1"/>
          <w:sz w:val="32"/>
          <w:szCs w:val="32"/>
          <w14:textFill>
            <w14:solidFill>
              <w14:schemeClr w14:val="tx1"/>
            </w14:solidFill>
          </w14:textFill>
        </w:rPr>
        <w:t>经办机构应当中止协议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根据日常检查和专项检查，发现对长护险基金安全或参保人员权益可能造成重大风险</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（二）未按规定向省医保经办机构及医保行政部门提供有关数据或提供数据不真实的；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根据协议约定应当中止协议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autoSpaceDN/>
        <w:bidi w:val="0"/>
        <w:adjustRightInd w:val="0"/>
        <w:snapToGrid w:val="0"/>
        <w:spacing w:line="560" w:lineRule="exact"/>
        <w:ind w:left="1" w:right="44" w:firstLine="653"/>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法律法规和规章规定的应当中止的其他情形。</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val="0"/>
          <w:snapToGrid w:val="0"/>
          <w:color w:val="000000" w:themeColor="text1"/>
          <w:spacing w:val="1"/>
          <w:kern w:val="0"/>
          <w:sz w:val="32"/>
          <w:szCs w:val="32"/>
          <w:lang w:val="en-US" w:eastAsia="zh-CN" w:bidi="ar-SA"/>
          <w14:textFill>
            <w14:solidFill>
              <w14:schemeClr w14:val="tx1"/>
            </w14:solidFill>
          </w14:textFill>
        </w:rPr>
        <w:t>第三十五条</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评估协议</w:t>
      </w:r>
      <w:r>
        <w:rPr>
          <w:rFonts w:hint="eastAsia" w:ascii="仿宋_GB2312" w:hAnsi="仿宋_GB2312" w:eastAsia="仿宋_GB2312" w:cs="仿宋_GB2312"/>
          <w:color w:val="000000" w:themeColor="text1"/>
          <w:sz w:val="32"/>
          <w:szCs w:val="32"/>
          <w14:textFill>
            <w14:solidFill>
              <w14:schemeClr w14:val="tx1"/>
            </w14:solidFill>
          </w14:textFill>
        </w:rPr>
        <w:t>解除是指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省</w:t>
      </w:r>
      <w:r>
        <w:rPr>
          <w:rFonts w:hint="eastAsia" w:ascii="仿宋_GB2312" w:hAnsi="仿宋_GB2312" w:eastAsia="仿宋_GB2312" w:cs="仿宋_GB2312"/>
          <w:color w:val="000000" w:themeColor="text1"/>
          <w:sz w:val="32"/>
          <w:szCs w:val="32"/>
          <w:lang w:eastAsia="zh-CN"/>
          <w14:textFill>
            <w14:solidFill>
              <w14:schemeClr w14:val="tx1"/>
            </w14:solidFill>
          </w14:textFill>
        </w:rPr>
        <w:t>医保</w:t>
      </w:r>
      <w:r>
        <w:rPr>
          <w:rFonts w:hint="eastAsia" w:ascii="仿宋_GB2312" w:hAnsi="仿宋_GB2312" w:eastAsia="仿宋_GB2312" w:cs="仿宋_GB2312"/>
          <w:color w:val="000000" w:themeColor="text1"/>
          <w:sz w:val="32"/>
          <w:szCs w:val="32"/>
          <w14:textFill>
            <w14:solidFill>
              <w14:schemeClr w14:val="tx1"/>
            </w14:solidFill>
          </w14:textFill>
        </w:rPr>
        <w:t>经办机构与定点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评估</w:t>
      </w:r>
      <w:r>
        <w:rPr>
          <w:rFonts w:hint="eastAsia" w:ascii="仿宋_GB2312" w:hAnsi="仿宋_GB2312" w:eastAsia="仿宋_GB2312" w:cs="仿宋_GB2312"/>
          <w:color w:val="000000" w:themeColor="text1"/>
          <w:sz w:val="32"/>
          <w:szCs w:val="32"/>
          <w14:textFill>
            <w14:solidFill>
              <w14:schemeClr w14:val="tx1"/>
            </w14:solidFill>
          </w14:textFill>
        </w:rPr>
        <w:t>机构之间的协议关系不再存续，</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评估协议</w:t>
      </w:r>
      <w:r>
        <w:rPr>
          <w:rFonts w:hint="eastAsia" w:ascii="仿宋_GB2312" w:hAnsi="仿宋_GB2312" w:eastAsia="仿宋_GB2312" w:cs="仿宋_GB2312"/>
          <w:color w:val="000000" w:themeColor="text1"/>
          <w:sz w:val="32"/>
          <w:szCs w:val="32"/>
          <w14:textFill>
            <w14:solidFill>
              <w14:schemeClr w14:val="tx1"/>
            </w14:solidFill>
          </w14:textFill>
        </w:rPr>
        <w:t>解除后产生的</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w:t>
      </w:r>
      <w:r>
        <w:rPr>
          <w:rFonts w:hint="eastAsia" w:ascii="仿宋_GB2312" w:hAnsi="仿宋_GB2312" w:eastAsia="仿宋_GB2312" w:cs="仿宋_GB2312"/>
          <w:color w:val="000000" w:themeColor="text1"/>
          <w:sz w:val="32"/>
          <w:szCs w:val="32"/>
          <w14:textFill>
            <w14:solidFill>
              <w14:schemeClr w14:val="tx1"/>
            </w14:solidFill>
          </w14:textFill>
        </w:rPr>
        <w:t>费用，长护险基金不再予以结算。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定点</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w:t>
      </w:r>
      <w:r>
        <w:rPr>
          <w:rFonts w:hint="eastAsia" w:ascii="仿宋_GB2312" w:hAnsi="仿宋_GB2312" w:eastAsia="仿宋_GB2312" w:cs="仿宋_GB2312"/>
          <w:color w:val="000000" w:themeColor="text1"/>
          <w:sz w:val="32"/>
          <w:szCs w:val="32"/>
          <w14:textFill>
            <w14:solidFill>
              <w14:schemeClr w14:val="tx1"/>
            </w14:solidFill>
          </w14:textFill>
        </w:rPr>
        <w:t>机构有下列情形之一的</w:t>
      </w:r>
      <w:r>
        <w:rPr>
          <w:rFonts w:hint="eastAsia" w:ascii="仿宋_GB2312" w:hAnsi="仿宋_GB2312" w:eastAsia="仿宋_GB2312" w:cs="仿宋_GB2312"/>
          <w:color w:val="000000" w:themeColor="text1"/>
          <w:sz w:val="32"/>
          <w:szCs w:val="32"/>
          <w:lang w:eastAsia="zh-CN"/>
          <w14:textFill>
            <w14:solidFill>
              <w14:schemeClr w14:val="tx1"/>
            </w14:solidFill>
          </w14:textFill>
        </w:rPr>
        <w:t>，省医保</w:t>
      </w:r>
      <w:r>
        <w:rPr>
          <w:rFonts w:hint="eastAsia" w:ascii="仿宋_GB2312" w:hAnsi="仿宋_GB2312" w:eastAsia="仿宋_GB2312" w:cs="仿宋_GB2312"/>
          <w:color w:val="000000" w:themeColor="text1"/>
          <w:sz w:val="32"/>
          <w:szCs w:val="32"/>
          <w14:textFill>
            <w14:solidFill>
              <w14:schemeClr w14:val="tx1"/>
            </w14:solidFill>
          </w14:textFill>
        </w:rPr>
        <w:t>经办机构应当解除协议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）营业执照</w:t>
      </w:r>
      <w:r>
        <w:rPr>
          <w:rFonts w:hint="eastAsia" w:ascii="仿宋_GB2312" w:hAnsi="仿宋_GB2312" w:eastAsia="仿宋_GB2312" w:cs="仿宋_GB2312"/>
          <w:color w:val="000000" w:themeColor="text1"/>
          <w:sz w:val="32"/>
          <w:szCs w:val="32"/>
          <w14:textFill>
            <w14:solidFill>
              <w14:schemeClr w14:val="tx1"/>
            </w14:solidFill>
          </w14:textFill>
        </w:rPr>
        <w:t>等资质文件注销、被吊销等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以弄虚作假等不正当手段申请取得定点管理资质或资格</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12个月内累计2次中止协议，或中止协议期间整改不到位</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拒绝、阻挠监督检查或因违反长护险</w:t>
      </w:r>
      <w:r>
        <w:rPr>
          <w:rFonts w:hint="eastAsia" w:ascii="仿宋_GB2312" w:hAnsi="仿宋_GB2312" w:eastAsia="仿宋_GB2312" w:cs="仿宋_GB2312"/>
          <w:color w:val="000000" w:themeColor="text1"/>
          <w:sz w:val="32"/>
          <w:szCs w:val="32"/>
          <w:lang w:eastAsia="zh-CN"/>
          <w14:textFill>
            <w14:solidFill>
              <w14:schemeClr w14:val="tx1"/>
            </w14:solidFill>
          </w14:textFill>
        </w:rPr>
        <w:t>政策</w:t>
      </w:r>
      <w:r>
        <w:rPr>
          <w:rFonts w:hint="eastAsia" w:ascii="仿宋_GB2312" w:hAnsi="仿宋_GB2312" w:eastAsia="仿宋_GB2312" w:cs="仿宋_GB2312"/>
          <w:color w:val="000000" w:themeColor="text1"/>
          <w:sz w:val="32"/>
          <w:szCs w:val="32"/>
          <w14:textFill>
            <w14:solidFill>
              <w14:schemeClr w14:val="tx1"/>
            </w14:solidFill>
          </w14:textFill>
        </w:rPr>
        <w:t>规定被医保、审计等部门通报，造成恶劣影响</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14:textFill>
            <w14:solidFill>
              <w14:schemeClr w14:val="tx1"/>
            </w14:solidFill>
          </w14:textFill>
        </w:rPr>
        <w:t>以伪造或者变造的</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w:t>
      </w:r>
      <w:r>
        <w:rPr>
          <w:rFonts w:hint="eastAsia" w:ascii="仿宋_GB2312" w:hAnsi="仿宋_GB2312" w:eastAsia="仿宋_GB2312" w:cs="仿宋_GB2312"/>
          <w:color w:val="000000" w:themeColor="text1"/>
          <w:sz w:val="32"/>
          <w:szCs w:val="32"/>
          <w14:textFill>
            <w14:solidFill>
              <w14:schemeClr w14:val="tx1"/>
            </w14:solidFill>
          </w14:textFill>
        </w:rPr>
        <w:t>记录、账目、费用单据、上传数据、会计凭证、电子信息等有关资料，进行长护险</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w:t>
      </w:r>
      <w:r>
        <w:rPr>
          <w:rFonts w:hint="eastAsia" w:ascii="仿宋_GB2312" w:hAnsi="仿宋_GB2312" w:eastAsia="仿宋_GB2312" w:cs="仿宋_GB2312"/>
          <w:color w:val="000000" w:themeColor="text1"/>
          <w:sz w:val="32"/>
          <w:szCs w:val="32"/>
          <w14:textFill>
            <w14:solidFill>
              <w14:schemeClr w14:val="tx1"/>
            </w14:solidFill>
          </w14:textFill>
        </w:rPr>
        <w:t>费用结算</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14:textFill>
            <w14:solidFill>
              <w14:schemeClr w14:val="tx1"/>
            </w14:solidFill>
          </w14:textFill>
        </w:rPr>
        <w:t>诱导、串通、协助他人冒名提供虚假证明材料，进行长护险</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w:t>
      </w:r>
      <w:r>
        <w:rPr>
          <w:rFonts w:hint="eastAsia" w:ascii="仿宋_GB2312" w:hAnsi="仿宋_GB2312" w:eastAsia="仿宋_GB2312" w:cs="仿宋_GB2312"/>
          <w:color w:val="000000" w:themeColor="text1"/>
          <w:sz w:val="32"/>
          <w:szCs w:val="32"/>
          <w14:textFill>
            <w14:solidFill>
              <w14:schemeClr w14:val="tx1"/>
            </w14:solidFill>
          </w14:textFill>
        </w:rPr>
        <w:t>费用结算</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出借长护险相关资质或资格</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经</w:t>
      </w:r>
      <w:r>
        <w:rPr>
          <w:rFonts w:hint="eastAsia" w:ascii="仿宋_GB2312" w:hAnsi="仿宋_GB2312" w:eastAsia="仿宋_GB2312" w:cs="仿宋_GB2312"/>
          <w:sz w:val="32"/>
          <w:szCs w:val="32"/>
          <w:lang w:eastAsia="zh-CN"/>
        </w:rPr>
        <w:t>医保行政部门</w:t>
      </w:r>
      <w:r>
        <w:rPr>
          <w:rFonts w:hint="eastAsia" w:ascii="仿宋_GB2312" w:hAnsi="仿宋_GB2312" w:eastAsia="仿宋_GB2312" w:cs="仿宋_GB2312"/>
          <w:sz w:val="32"/>
          <w:szCs w:val="32"/>
        </w:rPr>
        <w:t>或其他有关部门查实有欺诈骗保行为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法定代表人、主要负责人或实际控制人不能履行协议约定，或有违法失信行为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评估协议</w:t>
      </w:r>
      <w:r>
        <w:rPr>
          <w:rFonts w:hint="eastAsia" w:ascii="仿宋_GB2312" w:hAnsi="仿宋_GB2312" w:eastAsia="仿宋_GB2312" w:cs="仿宋_GB2312"/>
          <w:sz w:val="32"/>
          <w:szCs w:val="32"/>
        </w:rPr>
        <w:t>约定应当解除协议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定点</w:t>
      </w:r>
      <w:r>
        <w:rPr>
          <w:rFonts w:hint="eastAsia" w:ascii="仿宋_GB2312" w:hAnsi="仿宋_GB2312" w:eastAsia="仿宋_GB2312" w:cs="仿宋_GB2312"/>
          <w:sz w:val="32"/>
          <w:szCs w:val="32"/>
          <w:lang w:eastAsia="zh-CN"/>
        </w:rPr>
        <w:t>评估</w:t>
      </w:r>
      <w:r>
        <w:rPr>
          <w:rFonts w:hint="eastAsia" w:ascii="仿宋_GB2312" w:hAnsi="仿宋_GB2312" w:eastAsia="仿宋_GB2312" w:cs="仿宋_GB2312"/>
          <w:sz w:val="32"/>
          <w:szCs w:val="32"/>
        </w:rPr>
        <w:t>机构自愿提出解除协议并经协商一致</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法律法规和规章规定的应当解除的其他情形</w:t>
      </w:r>
      <w:r>
        <w:rPr>
          <w:rFonts w:hint="eastAsia" w:ascii="仿宋_GB2312" w:hAnsi="仿宋_GB2312" w:eastAsia="仿宋_GB2312" w:cs="仿宋_GB2312"/>
          <w:sz w:val="32"/>
          <w:szCs w:val="32"/>
          <w:lang w:eastAsia="zh-CN"/>
        </w:rPr>
        <w:t>。</w:t>
      </w:r>
    </w:p>
    <w:p>
      <w:pPr>
        <w:pStyle w:val="5"/>
        <w:keepNext w:val="0"/>
        <w:keepLines w:val="0"/>
        <w:pageBreakBefore w:val="0"/>
        <w:widowControl w:val="0"/>
        <w:kinsoku/>
        <w:wordWrap/>
        <w:overflowPunct/>
        <w:topLinePunct w:val="0"/>
        <w:autoSpaceDE/>
        <w:autoSpaceDN/>
        <w:bidi w:val="0"/>
        <w:adjustRightInd w:val="0"/>
        <w:snapToGrid w:val="0"/>
        <w:spacing w:line="560" w:lineRule="exact"/>
        <w:ind w:left="1" w:right="44" w:firstLine="653"/>
        <w:jc w:val="both"/>
        <w:textAlignment w:val="baseline"/>
        <w:rPr>
          <w:rFonts w:hint="eastAsia" w:ascii="仿宋_GB2312" w:hAnsi="仿宋_GB2312" w:eastAsia="仿宋_GB2312" w:cs="仿宋_GB2312"/>
          <w:color w:val="000000" w:themeColor="text1"/>
          <w:kern w:val="2"/>
          <w:sz w:val="32"/>
          <w:szCs w:val="32"/>
          <w:lang w:val="en-US" w:eastAsia="en-US" w:bidi="ar-SA"/>
          <w14:textFill>
            <w14:solidFill>
              <w14:schemeClr w14:val="tx1"/>
            </w14:solidFill>
          </w14:textFill>
        </w:rPr>
      </w:pPr>
      <w:r>
        <w:rPr>
          <w:rFonts w:ascii="黑体" w:hAnsi="黑体" w:eastAsia="黑体" w:cs="黑体"/>
          <w:b w:val="0"/>
          <w:bCs w:val="0"/>
          <w:snapToGrid w:val="0"/>
          <w:color w:val="000000" w:themeColor="text1"/>
          <w:spacing w:val="1"/>
          <w:kern w:val="0"/>
          <w:sz w:val="31"/>
          <w:szCs w:val="31"/>
          <w:lang w:val="en-US" w:eastAsia="en-US" w:bidi="ar-SA"/>
          <w14:textFill>
            <w14:solidFill>
              <w14:schemeClr w14:val="tx1"/>
            </w14:solidFill>
          </w14:textFill>
        </w:rPr>
        <w:t>第</w:t>
      </w:r>
      <w:r>
        <w:rPr>
          <w:rFonts w:hint="eastAsia" w:ascii="黑体" w:hAnsi="黑体" w:eastAsia="黑体" w:cs="黑体"/>
          <w:b w:val="0"/>
          <w:bCs w:val="0"/>
          <w:snapToGrid w:val="0"/>
          <w:color w:val="000000" w:themeColor="text1"/>
          <w:spacing w:val="1"/>
          <w:kern w:val="0"/>
          <w:sz w:val="31"/>
          <w:szCs w:val="31"/>
          <w:lang w:val="en-US" w:eastAsia="zh-CN" w:bidi="ar-SA"/>
          <w14:textFill>
            <w14:solidFill>
              <w14:schemeClr w14:val="tx1"/>
            </w14:solidFill>
          </w14:textFill>
        </w:rPr>
        <w:t>三十六</w:t>
      </w:r>
      <w:r>
        <w:rPr>
          <w:rFonts w:ascii="黑体" w:hAnsi="黑体" w:eastAsia="黑体" w:cs="黑体"/>
          <w:b w:val="0"/>
          <w:bCs w:val="0"/>
          <w:snapToGrid w:val="0"/>
          <w:color w:val="000000" w:themeColor="text1"/>
          <w:spacing w:val="1"/>
          <w:kern w:val="0"/>
          <w:sz w:val="31"/>
          <w:szCs w:val="31"/>
          <w:lang w:val="en-US" w:eastAsia="en-US" w:bidi="ar-SA"/>
          <w14:textFill>
            <w14:solidFill>
              <w14:schemeClr w14:val="tx1"/>
            </w14:solidFill>
          </w14:textFill>
        </w:rPr>
        <w:t>条</w:t>
      </w: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zh-TW" w:eastAsia="zh-TW" w:bidi="ar-SA"/>
          <w14:textFill>
            <w14:solidFill>
              <w14:schemeClr w14:val="tx1"/>
            </w14:solidFill>
          </w14:textFill>
        </w:rPr>
        <w:t>签订</w:t>
      </w:r>
      <w:r>
        <w:rPr>
          <w:rFonts w:hint="eastAsia" w:ascii="仿宋_GB2312" w:hAnsi="仿宋_GB2312" w:eastAsia="仿宋_GB2312" w:cs="仿宋_GB2312"/>
          <w:color w:val="000000" w:themeColor="text1"/>
          <w:kern w:val="2"/>
          <w:sz w:val="32"/>
          <w:szCs w:val="32"/>
          <w:lang w:val="zh-TW" w:eastAsia="zh-CN" w:bidi="ar-SA"/>
          <w14:textFill>
            <w14:solidFill>
              <w14:schemeClr w14:val="tx1"/>
            </w14:solidFill>
          </w14:textFill>
        </w:rPr>
        <w:t>评估协议</w:t>
      </w:r>
      <w:r>
        <w:rPr>
          <w:rFonts w:hint="eastAsia" w:ascii="仿宋_GB2312" w:hAnsi="仿宋_GB2312" w:eastAsia="仿宋_GB2312" w:cs="仿宋_GB2312"/>
          <w:color w:val="000000" w:themeColor="text1"/>
          <w:kern w:val="2"/>
          <w:sz w:val="32"/>
          <w:szCs w:val="32"/>
          <w:lang w:val="zh-TW" w:eastAsia="zh-TW" w:bidi="ar-SA"/>
          <w14:textFill>
            <w14:solidFill>
              <w14:schemeClr w14:val="tx1"/>
            </w14:solidFill>
          </w14:textFill>
        </w:rPr>
        <w:t>的定点</w:t>
      </w:r>
      <w:r>
        <w:rPr>
          <w:rFonts w:hint="eastAsia" w:ascii="仿宋_GB2312" w:hAnsi="仿宋_GB2312" w:eastAsia="仿宋_GB2312" w:cs="仿宋_GB2312"/>
          <w:color w:val="000000" w:themeColor="text1"/>
          <w:kern w:val="2"/>
          <w:sz w:val="32"/>
          <w:szCs w:val="32"/>
          <w:lang w:val="zh-TW" w:eastAsia="zh-CN" w:bidi="ar-SA"/>
          <w14:textFill>
            <w14:solidFill>
              <w14:schemeClr w14:val="tx1"/>
            </w14:solidFill>
          </w14:textFill>
        </w:rPr>
        <w:t>评估</w:t>
      </w:r>
      <w:r>
        <w:rPr>
          <w:rFonts w:hint="eastAsia" w:ascii="仿宋_GB2312" w:hAnsi="仿宋_GB2312" w:eastAsia="仿宋_GB2312" w:cs="仿宋_GB2312"/>
          <w:color w:val="000000" w:themeColor="text1"/>
          <w:kern w:val="2"/>
          <w:sz w:val="32"/>
          <w:szCs w:val="32"/>
          <w:lang w:val="zh-TW" w:eastAsia="zh-TW" w:bidi="ar-SA"/>
          <w14:textFill>
            <w14:solidFill>
              <w14:schemeClr w14:val="tx1"/>
            </w14:solidFill>
          </w14:textFill>
        </w:rPr>
        <w:t>机构，在检查、稽核或举报查处中，存在不符合定点条件的，由</w:t>
      </w:r>
      <w:r>
        <w:rPr>
          <w:rFonts w:hint="eastAsia" w:ascii="仿宋_GB2312" w:hAnsi="仿宋_GB2312" w:eastAsia="仿宋_GB2312" w:cs="仿宋_GB2312"/>
          <w:color w:val="000000" w:themeColor="text1"/>
          <w:kern w:val="2"/>
          <w:sz w:val="32"/>
          <w:szCs w:val="32"/>
          <w:lang w:val="zh-TW" w:eastAsia="zh-CN" w:bidi="ar-SA"/>
          <w14:textFill>
            <w14:solidFill>
              <w14:schemeClr w14:val="tx1"/>
            </w14:solidFill>
          </w14:textFill>
        </w:rPr>
        <w:t>省</w:t>
      </w:r>
      <w:r>
        <w:rPr>
          <w:rFonts w:hint="eastAsia" w:ascii="仿宋_GB2312" w:hAnsi="仿宋_GB2312" w:eastAsia="仿宋_GB2312" w:cs="仿宋_GB2312"/>
          <w:color w:val="000000" w:themeColor="text1"/>
          <w:kern w:val="2"/>
          <w:sz w:val="32"/>
          <w:szCs w:val="32"/>
          <w:lang w:val="zh-TW" w:eastAsia="zh-TW" w:bidi="ar-SA"/>
          <w14:textFill>
            <w14:solidFill>
              <w14:schemeClr w14:val="tx1"/>
            </w14:solidFill>
          </w14:textFill>
        </w:rPr>
        <w:t>医保经办机构暂停其定点</w:t>
      </w:r>
      <w:r>
        <w:rPr>
          <w:rFonts w:hint="eastAsia" w:ascii="仿宋_GB2312" w:hAnsi="仿宋_GB2312" w:eastAsia="仿宋_GB2312" w:cs="仿宋_GB2312"/>
          <w:color w:val="000000" w:themeColor="text1"/>
          <w:kern w:val="2"/>
          <w:sz w:val="32"/>
          <w:szCs w:val="32"/>
          <w:lang w:val="zh-TW" w:eastAsia="zh-CN" w:bidi="ar-SA"/>
          <w14:textFill>
            <w14:solidFill>
              <w14:schemeClr w14:val="tx1"/>
            </w14:solidFill>
          </w14:textFill>
        </w:rPr>
        <w:t>管理</w:t>
      </w:r>
      <w:r>
        <w:rPr>
          <w:rFonts w:hint="eastAsia" w:ascii="仿宋_GB2312" w:hAnsi="仿宋_GB2312" w:eastAsia="仿宋_GB2312" w:cs="仿宋_GB2312"/>
          <w:color w:val="000000" w:themeColor="text1"/>
          <w:kern w:val="2"/>
          <w:sz w:val="32"/>
          <w:szCs w:val="32"/>
          <w:lang w:val="zh-TW" w:eastAsia="zh-TW" w:bidi="ar-SA"/>
          <w14:textFill>
            <w14:solidFill>
              <w14:schemeClr w14:val="tx1"/>
            </w14:solidFill>
          </w14:textFill>
        </w:rPr>
        <w:t>，并责成其在规定期限内进行整改。经整改达到相关标准的，恢复定点资格；达不到相关标准</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的，</w:t>
      </w:r>
      <w:r>
        <w:rPr>
          <w:rFonts w:hint="eastAsia" w:ascii="仿宋_GB2312" w:hAnsi="仿宋_GB2312" w:eastAsia="仿宋_GB2312" w:cs="仿宋_GB2312"/>
          <w:color w:val="000000" w:themeColor="text1"/>
          <w:kern w:val="2"/>
          <w:sz w:val="32"/>
          <w:szCs w:val="32"/>
          <w:lang w:val="zh-TW" w:eastAsia="zh-TW" w:bidi="ar-SA"/>
          <w14:textFill>
            <w14:solidFill>
              <w14:schemeClr w14:val="tx1"/>
            </w14:solidFill>
          </w14:textFill>
        </w:rPr>
        <w:t>解除协议。</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黑体" w:hAnsi="黑体" w:eastAsia="黑体" w:cs="黑体"/>
          <w:b w:val="0"/>
          <w:bCs w:val="0"/>
          <w:snapToGrid w:val="0"/>
          <w:color w:val="000000" w:themeColor="text1"/>
          <w:spacing w:val="1"/>
          <w:kern w:val="0"/>
          <w:sz w:val="31"/>
          <w:szCs w:val="31"/>
          <w:lang w:val="en-US" w:eastAsia="zh-CN" w:bidi="ar-SA"/>
          <w14:textFill>
            <w14:solidFill>
              <w14:schemeClr w14:val="tx1"/>
            </w14:solidFill>
          </w14:textFill>
        </w:rPr>
        <w:t>第三十七条</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定点</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w:t>
      </w:r>
      <w:r>
        <w:rPr>
          <w:rFonts w:hint="eastAsia" w:ascii="仿宋_GB2312" w:hAnsi="仿宋_GB2312" w:eastAsia="仿宋_GB2312" w:cs="仿宋_GB2312"/>
          <w:color w:val="000000" w:themeColor="text1"/>
          <w:sz w:val="32"/>
          <w:szCs w:val="32"/>
          <w14:textFill>
            <w14:solidFill>
              <w14:schemeClr w14:val="tx1"/>
            </w14:solidFill>
          </w14:textFill>
        </w:rPr>
        <w:t>机构自愿中止协议、解除协议或不再续签的，应提前3个月向</w:t>
      </w:r>
      <w:r>
        <w:rPr>
          <w:rFonts w:hint="eastAsia" w:ascii="仿宋_GB2312" w:hAnsi="仿宋_GB2312" w:eastAsia="仿宋_GB2312" w:cs="仿宋_GB2312"/>
          <w:color w:val="000000" w:themeColor="text1"/>
          <w:sz w:val="32"/>
          <w:szCs w:val="32"/>
          <w:lang w:eastAsia="zh-CN"/>
          <w14:textFill>
            <w14:solidFill>
              <w14:schemeClr w14:val="tx1"/>
            </w14:solidFill>
          </w14:textFill>
        </w:rPr>
        <w:t>所在地</w:t>
      </w:r>
      <w:r>
        <w:rPr>
          <w:rFonts w:hint="eastAsia" w:ascii="仿宋_GB2312" w:hAnsi="仿宋_GB2312" w:eastAsia="仿宋_GB2312" w:cs="仿宋_GB2312"/>
          <w:color w:val="000000" w:themeColor="text1"/>
          <w:sz w:val="32"/>
          <w:szCs w:val="32"/>
          <w14:textFill>
            <w14:solidFill>
              <w14:schemeClr w14:val="tx1"/>
            </w14:solidFill>
          </w14:textFill>
        </w:rPr>
        <w:t>经办机构提出申请。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黑体" w:hAnsi="黑体" w:eastAsia="黑体" w:cs="黑体"/>
          <w:b w:val="0"/>
          <w:bCs w:val="0"/>
          <w:snapToGrid w:val="0"/>
          <w:color w:val="000000" w:themeColor="text1"/>
          <w:spacing w:val="1"/>
          <w:kern w:val="0"/>
          <w:sz w:val="31"/>
          <w:szCs w:val="31"/>
          <w:lang w:val="en-US" w:eastAsia="zh-CN" w:bidi="ar-SA"/>
          <w14:textFill>
            <w14:solidFill>
              <w14:schemeClr w14:val="tx1"/>
            </w14:solidFill>
          </w14:textFill>
        </w:rPr>
        <w:t>第三十八条</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省医保</w:t>
      </w:r>
      <w:r>
        <w:rPr>
          <w:rFonts w:hint="eastAsia" w:ascii="仿宋_GB2312" w:hAnsi="仿宋_GB2312" w:eastAsia="仿宋_GB2312" w:cs="仿宋_GB2312"/>
          <w:color w:val="000000" w:themeColor="text1"/>
          <w:sz w:val="32"/>
          <w:szCs w:val="32"/>
          <w14:textFill>
            <w14:solidFill>
              <w14:schemeClr w14:val="tx1"/>
            </w14:solidFill>
          </w14:textFill>
        </w:rPr>
        <w:t>经办机构应将中止、解除协议的定点</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w:t>
      </w:r>
      <w:r>
        <w:rPr>
          <w:rFonts w:hint="eastAsia" w:ascii="仿宋_GB2312" w:hAnsi="仿宋_GB2312" w:eastAsia="仿宋_GB2312" w:cs="仿宋_GB2312"/>
          <w:color w:val="000000" w:themeColor="text1"/>
          <w:sz w:val="32"/>
          <w:szCs w:val="32"/>
          <w14:textFill>
            <w14:solidFill>
              <w14:schemeClr w14:val="tx1"/>
            </w14:solidFill>
          </w14:textFill>
        </w:rPr>
        <w:t>机构基本信息及时报</w:t>
      </w:r>
      <w:r>
        <w:rPr>
          <w:rFonts w:hint="eastAsia" w:ascii="仿宋_GB2312" w:hAnsi="仿宋_GB2312" w:eastAsia="仿宋_GB2312" w:cs="仿宋_GB2312"/>
          <w:color w:val="000000" w:themeColor="text1"/>
          <w:sz w:val="32"/>
          <w:szCs w:val="32"/>
          <w:lang w:eastAsia="zh-CN"/>
          <w14:textFill>
            <w14:solidFill>
              <w14:schemeClr w14:val="tx1"/>
            </w14:solidFill>
          </w14:textFill>
        </w:rPr>
        <w:t>省医保行政部门事前备案</w:t>
      </w:r>
      <w:r>
        <w:rPr>
          <w:rFonts w:hint="eastAsia" w:ascii="仿宋_GB2312" w:hAnsi="仿宋_GB2312" w:eastAsia="仿宋_GB2312" w:cs="仿宋_GB2312"/>
          <w:color w:val="000000" w:themeColor="text1"/>
          <w:sz w:val="32"/>
          <w:szCs w:val="32"/>
          <w14:textFill>
            <w14:solidFill>
              <w14:schemeClr w14:val="tx1"/>
            </w14:solidFill>
          </w14:textFill>
        </w:rPr>
        <w:t>，向社会公布中止、解除协议的定点</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w:t>
      </w:r>
      <w:r>
        <w:rPr>
          <w:rFonts w:hint="eastAsia" w:ascii="仿宋_GB2312" w:hAnsi="仿宋_GB2312" w:eastAsia="仿宋_GB2312" w:cs="仿宋_GB2312"/>
          <w:color w:val="000000" w:themeColor="text1"/>
          <w:sz w:val="32"/>
          <w:szCs w:val="32"/>
          <w14:textFill>
            <w14:solidFill>
              <w14:schemeClr w14:val="tx1"/>
            </w14:solidFill>
          </w14:textFill>
        </w:rPr>
        <w:t>机构名单。解除协议的定点</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w:t>
      </w:r>
      <w:r>
        <w:rPr>
          <w:rFonts w:hint="eastAsia" w:ascii="仿宋_GB2312" w:hAnsi="仿宋_GB2312" w:eastAsia="仿宋_GB2312" w:cs="仿宋_GB2312"/>
          <w:color w:val="000000" w:themeColor="text1"/>
          <w:sz w:val="32"/>
          <w:szCs w:val="32"/>
          <w14:textFill>
            <w14:solidFill>
              <w14:schemeClr w14:val="tx1"/>
            </w14:solidFill>
          </w14:textFill>
        </w:rPr>
        <w:t>机构，应及时撤除定点标识。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24" w:firstLineChars="200"/>
        <w:jc w:val="both"/>
        <w:textAlignment w:val="baseline"/>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黑体" w:hAnsi="黑体" w:eastAsia="黑体" w:cs="黑体"/>
          <w:b w:val="0"/>
          <w:bCs w:val="0"/>
          <w:snapToGrid w:val="0"/>
          <w:color w:val="000000" w:themeColor="text1"/>
          <w:spacing w:val="1"/>
          <w:kern w:val="0"/>
          <w:sz w:val="31"/>
          <w:szCs w:val="31"/>
          <w:lang w:val="en-US" w:eastAsia="zh-CN" w:bidi="ar-SA"/>
          <w14:textFill>
            <w14:solidFill>
              <w14:schemeClr w14:val="tx1"/>
            </w14:solidFill>
          </w14:textFill>
        </w:rPr>
        <w:t>第三十九条</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定点</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w:t>
      </w:r>
      <w:r>
        <w:rPr>
          <w:rFonts w:hint="eastAsia" w:ascii="仿宋_GB2312" w:hAnsi="仿宋_GB2312" w:eastAsia="仿宋_GB2312" w:cs="仿宋_GB2312"/>
          <w:color w:val="000000" w:themeColor="text1"/>
          <w:sz w:val="32"/>
          <w:szCs w:val="32"/>
          <w14:textFill>
            <w14:solidFill>
              <w14:schemeClr w14:val="tx1"/>
            </w14:solidFill>
          </w14:textFill>
        </w:rPr>
        <w:t>机构或人员有违反</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评估协议</w:t>
      </w:r>
      <w:r>
        <w:rPr>
          <w:rFonts w:hint="eastAsia" w:ascii="仿宋_GB2312" w:hAnsi="仿宋_GB2312" w:eastAsia="仿宋_GB2312" w:cs="仿宋_GB2312"/>
          <w:color w:val="000000" w:themeColor="text1"/>
          <w:sz w:val="32"/>
          <w:szCs w:val="32"/>
          <w14:textFill>
            <w14:solidFill>
              <w14:schemeClr w14:val="tx1"/>
            </w14:solidFill>
          </w14:textFill>
        </w:rPr>
        <w:t>管理要求的，限</w:t>
      </w:r>
      <w:r>
        <w:rPr>
          <w:rFonts w:hint="eastAsia" w:ascii="仿宋_GB2312" w:hAnsi="仿宋_GB2312" w:eastAsia="仿宋_GB2312" w:cs="仿宋_GB2312"/>
          <w:color w:val="000000" w:themeColor="text1"/>
          <w:sz w:val="32"/>
          <w:szCs w:val="32"/>
          <w:lang w:eastAsia="zh-CN"/>
          <w14:textFill>
            <w14:solidFill>
              <w14:schemeClr w14:val="tx1"/>
            </w14:solidFill>
          </w14:textFill>
        </w:rPr>
        <w:t>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1个月内完成整改并约谈有关责任人，整改期间，</w:t>
      </w:r>
      <w:r>
        <w:rPr>
          <w:rFonts w:hint="eastAsia" w:ascii="仿宋_GB2312" w:hAnsi="仿宋_GB2312" w:eastAsia="仿宋_GB2312" w:cs="仿宋_GB2312"/>
          <w:color w:val="000000" w:themeColor="text1"/>
          <w:sz w:val="32"/>
          <w:szCs w:val="32"/>
          <w14:textFill>
            <w14:solidFill>
              <w14:schemeClr w14:val="tx1"/>
            </w14:solidFill>
          </w14:textFill>
        </w:rPr>
        <w:t>对该机构</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或人员中止长护险评估结算；</w:t>
      </w:r>
      <w:r>
        <w:rPr>
          <w:rFonts w:hint="eastAsia" w:ascii="仿宋_GB2312" w:hAnsi="仿宋_GB2312" w:eastAsia="仿宋_GB2312" w:cs="仿宋_GB2312"/>
          <w:color w:val="000000" w:themeColor="text1"/>
          <w:kern w:val="2"/>
          <w:sz w:val="32"/>
          <w:szCs w:val="32"/>
          <w:lang w:val="zh-TW" w:eastAsia="zh-CN" w:bidi="ar-SA"/>
          <w14:textFill>
            <w14:solidFill>
              <w14:schemeClr w14:val="tx1"/>
            </w14:solidFill>
          </w14:textFill>
        </w:rPr>
        <w:t>对</w:t>
      </w:r>
      <w:r>
        <w:rPr>
          <w:rFonts w:hint="eastAsia" w:ascii="仿宋_GB2312" w:hAnsi="仿宋_GB2312" w:eastAsia="仿宋_GB2312" w:cs="仿宋_GB2312"/>
          <w:color w:val="000000" w:themeColor="text1"/>
          <w:kern w:val="2"/>
          <w:sz w:val="32"/>
          <w:szCs w:val="32"/>
          <w:lang w:val="zh-TW" w:eastAsia="zh-TW" w:bidi="ar-SA"/>
          <w14:textFill>
            <w14:solidFill>
              <w14:schemeClr w14:val="tx1"/>
            </w14:solidFill>
          </w14:textFill>
        </w:rPr>
        <w:t>拒不</w:t>
      </w:r>
      <w:r>
        <w:rPr>
          <w:rFonts w:hint="eastAsia" w:ascii="仿宋_GB2312" w:hAnsi="仿宋_GB2312" w:eastAsia="仿宋_GB2312" w:cs="仿宋_GB2312"/>
          <w:color w:val="000000" w:themeColor="text1"/>
          <w:kern w:val="2"/>
          <w:sz w:val="32"/>
          <w:szCs w:val="32"/>
          <w:lang w:val="zh-TW" w:eastAsia="zh-CN" w:bidi="ar-SA"/>
          <w14:textFill>
            <w14:solidFill>
              <w14:schemeClr w14:val="tx1"/>
            </w14:solidFill>
          </w14:textFill>
        </w:rPr>
        <w:t>整改</w:t>
      </w:r>
      <w:r>
        <w:rPr>
          <w:rFonts w:hint="eastAsia" w:ascii="仿宋_GB2312" w:hAnsi="仿宋_GB2312" w:eastAsia="仿宋_GB2312" w:cs="仿宋_GB2312"/>
          <w:color w:val="000000" w:themeColor="text1"/>
          <w:kern w:val="2"/>
          <w:sz w:val="32"/>
          <w:szCs w:val="32"/>
          <w:lang w:val="zh-TW" w:eastAsia="zh-TW" w:bidi="ar-SA"/>
          <w14:textFill>
            <w14:solidFill>
              <w14:schemeClr w14:val="tx1"/>
            </w14:solidFill>
          </w14:textFill>
        </w:rPr>
        <w:t>的，中止</w:t>
      </w:r>
      <w:r>
        <w:rPr>
          <w:rFonts w:hint="eastAsia" w:ascii="仿宋_GB2312" w:hAnsi="仿宋_GB2312" w:eastAsia="仿宋_GB2312" w:cs="仿宋_GB2312"/>
          <w:color w:val="000000" w:themeColor="text1"/>
          <w:kern w:val="2"/>
          <w:sz w:val="32"/>
          <w:szCs w:val="32"/>
          <w:lang w:val="zh-TW" w:eastAsia="zh-CN" w:bidi="ar-SA"/>
          <w14:textFill>
            <w14:solidFill>
              <w14:schemeClr w14:val="tx1"/>
            </w14:solidFill>
          </w14:textFill>
        </w:rPr>
        <w:t>评估</w:t>
      </w:r>
      <w:r>
        <w:rPr>
          <w:rFonts w:hint="eastAsia" w:ascii="仿宋_GB2312" w:hAnsi="仿宋_GB2312" w:eastAsia="仿宋_GB2312" w:cs="仿宋_GB2312"/>
          <w:color w:val="000000" w:themeColor="text1"/>
          <w:kern w:val="2"/>
          <w:sz w:val="32"/>
          <w:szCs w:val="32"/>
          <w:lang w:val="zh-TW" w:eastAsia="zh-TW" w:bidi="ar-SA"/>
          <w14:textFill>
            <w14:solidFill>
              <w14:schemeClr w14:val="tx1"/>
            </w14:solidFill>
          </w14:textFill>
        </w:rPr>
        <w:t>协议</w:t>
      </w:r>
      <w:r>
        <w:rPr>
          <w:rFonts w:hint="eastAsia" w:ascii="仿宋_GB2312" w:hAnsi="仿宋_GB2312" w:eastAsia="仿宋_GB2312" w:cs="仿宋_GB2312"/>
          <w:color w:val="000000" w:themeColor="text1"/>
          <w:kern w:val="2"/>
          <w:sz w:val="32"/>
          <w:szCs w:val="32"/>
          <w:lang w:val="zh-TW"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构成犯罪的，依法追究刑</w:t>
      </w:r>
      <w:r>
        <w:rPr>
          <w:rFonts w:hint="eastAsia" w:ascii="仿宋_GB2312" w:hAnsi="仿宋_GB2312" w:eastAsia="仿宋_GB2312" w:cs="仿宋_GB2312"/>
          <w:color w:val="000000" w:themeColor="text1"/>
          <w:sz w:val="32"/>
          <w:szCs w:val="32"/>
          <w14:textFill>
            <w14:solidFill>
              <w14:schemeClr w14:val="tx1"/>
            </w14:solidFill>
          </w14:textFill>
        </w:rPr>
        <w:t>事责任。</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w:t>
      </w:r>
      <w:r>
        <w:rPr>
          <w:rFonts w:hint="eastAsia" w:ascii="黑体" w:hAnsi="黑体" w:eastAsia="黑体" w:cs="黑体"/>
          <w:b w:val="0"/>
          <w:bCs w:val="0"/>
          <w:color w:val="000000" w:themeColor="text1"/>
          <w:sz w:val="32"/>
          <w:szCs w:val="32"/>
          <w:lang w:eastAsia="zh-CN"/>
          <w14:textFill>
            <w14:solidFill>
              <w14:schemeClr w14:val="tx1"/>
            </w14:solidFill>
          </w14:textFill>
        </w:rPr>
        <w:t xml:space="preserve">六章 </w:t>
      </w: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w:t>
      </w:r>
      <w:r>
        <w:rPr>
          <w:rFonts w:hint="eastAsia" w:ascii="黑体" w:hAnsi="黑体" w:eastAsia="黑体" w:cs="黑体"/>
          <w:b w:val="0"/>
          <w:bCs w:val="0"/>
          <w:color w:val="000000" w:themeColor="text1"/>
          <w:sz w:val="32"/>
          <w:szCs w:val="32"/>
          <w14:textFill>
            <w14:solidFill>
              <w14:schemeClr w14:val="tx1"/>
            </w14:solidFill>
          </w14:textFill>
        </w:rPr>
        <w:t>监督管理</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color w:val="000000" w:themeColor="text1"/>
          <w:kern w:val="2"/>
          <w:sz w:val="32"/>
          <w:szCs w:val="32"/>
          <w:lang w:val="zh-TW" w:eastAsia="zh-CN" w:bidi="ar-SA"/>
          <w14:textFill>
            <w14:solidFill>
              <w14:schemeClr w14:val="tx1"/>
            </w14:solidFill>
          </w14:textFill>
        </w:rPr>
      </w:pPr>
      <w:r>
        <w:rPr>
          <w:rFonts w:hint="eastAsia" w:ascii="黑体" w:hAnsi="黑体" w:eastAsia="黑体" w:cs="黑体"/>
          <w:b w:val="0"/>
          <w:bCs w:val="0"/>
          <w:snapToGrid w:val="0"/>
          <w:color w:val="000000" w:themeColor="text1"/>
          <w:spacing w:val="1"/>
          <w:kern w:val="0"/>
          <w:sz w:val="32"/>
          <w:szCs w:val="32"/>
          <w:lang w:val="en-US" w:eastAsia="en-US" w:bidi="ar-SA"/>
          <w14:textFill>
            <w14:solidFill>
              <w14:schemeClr w14:val="tx1"/>
            </w14:solidFill>
          </w14:textFill>
        </w:rPr>
        <w:t>第</w:t>
      </w:r>
      <w:r>
        <w:rPr>
          <w:rFonts w:hint="eastAsia" w:ascii="黑体" w:hAnsi="黑体" w:eastAsia="黑体" w:cs="黑体"/>
          <w:b w:val="0"/>
          <w:bCs w:val="0"/>
          <w:color w:val="000000" w:themeColor="text1"/>
          <w:sz w:val="32"/>
          <w:szCs w:val="32"/>
          <w:lang w:eastAsia="zh-CN"/>
          <w14:textFill>
            <w14:solidFill>
              <w14:schemeClr w14:val="tx1"/>
            </w14:solidFill>
          </w14:textFill>
        </w:rPr>
        <w:t>四十</w:t>
      </w:r>
      <w:r>
        <w:rPr>
          <w:rFonts w:hint="eastAsia" w:ascii="黑体" w:hAnsi="黑体" w:eastAsia="黑体" w:cs="黑体"/>
          <w:b w:val="0"/>
          <w:bCs w:val="0"/>
          <w:snapToGrid w:val="0"/>
          <w:color w:val="000000" w:themeColor="text1"/>
          <w:spacing w:val="1"/>
          <w:kern w:val="0"/>
          <w:sz w:val="32"/>
          <w:szCs w:val="32"/>
          <w:lang w:val="en-US" w:eastAsia="en-US" w:bidi="ar-SA"/>
          <w14:textFill>
            <w14:solidFill>
              <w14:schemeClr w14:val="tx1"/>
            </w14:solidFill>
          </w14:textFill>
        </w:rPr>
        <w:t>条</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zh-TW" w:eastAsia="zh-CN" w:bidi="ar-SA"/>
          <w14:textFill>
            <w14:solidFill>
              <w14:schemeClr w14:val="tx1"/>
            </w14:solidFill>
          </w14:textFill>
        </w:rPr>
        <w:t>省医保行政部门对定点申请受理、综合审核、协议签订、评估费用审核和拨付等进行监督和指导。各级医保行政部门通过实地检查、抽查、智能监控、大数据分析等方式，对定点评估机构的评估行为及协议履行等进行监督。</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color w:val="000000" w:themeColor="text1"/>
          <w:kern w:val="2"/>
          <w:sz w:val="32"/>
          <w:szCs w:val="32"/>
          <w:lang w:val="zh-TW" w:eastAsia="zh-CN" w:bidi="ar-SA"/>
          <w14:textFill>
            <w14:solidFill>
              <w14:schemeClr w14:val="tx1"/>
            </w14:solidFill>
          </w14:textFill>
        </w:rPr>
      </w:pPr>
      <w:r>
        <w:rPr>
          <w:rFonts w:hint="eastAsia" w:ascii="黑体" w:hAnsi="黑体" w:eastAsia="黑体" w:cs="黑体"/>
          <w:b w:val="0"/>
          <w:bCs w:val="0"/>
          <w:snapToGrid w:val="0"/>
          <w:color w:val="000000" w:themeColor="text1"/>
          <w:spacing w:val="1"/>
          <w:kern w:val="0"/>
          <w:sz w:val="32"/>
          <w:szCs w:val="32"/>
          <w:lang w:val="en-US" w:eastAsia="en-US" w:bidi="ar-SA"/>
          <w14:textFill>
            <w14:solidFill>
              <w14:schemeClr w14:val="tx1"/>
            </w14:solidFill>
          </w14:textFill>
        </w:rPr>
        <w:t>第四十一条</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zh-TW" w:eastAsia="zh-CN" w:bidi="ar-SA"/>
          <w14:textFill>
            <w14:solidFill>
              <w14:schemeClr w14:val="tx1"/>
            </w14:solidFill>
          </w14:textFill>
        </w:rPr>
        <w:t>各级医保行政部门发现定点评估机构存在违约情形的，应当及时责令同级医保经办机构按照协议程序处理。各市县经办机构发现定点评估机构存在违约行为，报省级医保经办机构按照协议予以处理。如需作出中止、解除协议</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及追回违规使用的长期护理保险基金等决定</w:t>
      </w:r>
      <w:r>
        <w:rPr>
          <w:rFonts w:hint="eastAsia" w:ascii="仿宋_GB2312" w:hAnsi="仿宋_GB2312" w:eastAsia="仿宋_GB2312" w:cs="仿宋_GB2312"/>
          <w:color w:val="000000" w:themeColor="text1"/>
          <w:kern w:val="2"/>
          <w:sz w:val="32"/>
          <w:szCs w:val="32"/>
          <w:lang w:val="zh-TW" w:eastAsia="zh-CN" w:bidi="ar-SA"/>
          <w14:textFill>
            <w14:solidFill>
              <w14:schemeClr w14:val="tx1"/>
            </w14:solidFill>
          </w14:textFill>
        </w:rPr>
        <w:t>的，由省医保经办机构按照协议处理并报省医保行政部门事前备案。</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color w:val="000000" w:themeColor="text1"/>
          <w:kern w:val="2"/>
          <w:sz w:val="32"/>
          <w:szCs w:val="32"/>
          <w:lang w:val="zh-TW" w:eastAsia="zh-TW" w:bidi="ar-SA"/>
          <w14:textFill>
            <w14:solidFill>
              <w14:schemeClr w14:val="tx1"/>
            </w14:solidFill>
          </w14:textFill>
        </w:rPr>
      </w:pPr>
      <w:r>
        <w:rPr>
          <w:rFonts w:hint="eastAsia" w:ascii="黑体" w:hAnsi="黑体" w:eastAsia="黑体" w:cs="黑体"/>
          <w:b w:val="0"/>
          <w:bCs w:val="0"/>
          <w:snapToGrid w:val="0"/>
          <w:color w:val="000000" w:themeColor="text1"/>
          <w:spacing w:val="1"/>
          <w:kern w:val="0"/>
          <w:sz w:val="32"/>
          <w:szCs w:val="32"/>
          <w:lang w:eastAsia="en-US"/>
          <w14:textFill>
            <w14:solidFill>
              <w14:schemeClr w14:val="tx1"/>
            </w14:solidFill>
          </w14:textFill>
        </w:rPr>
        <w:t>第四十二条</w:t>
      </w:r>
      <w:r>
        <w:rPr>
          <w:rFonts w:hint="eastAsia" w:ascii="黑体" w:hAnsi="黑体" w:eastAsia="黑体" w:cs="黑体"/>
          <w:snapToGrid w:val="0"/>
          <w:color w:val="000000" w:themeColor="text1"/>
          <w:spacing w:val="1"/>
          <w:kern w:val="0"/>
          <w:sz w:val="32"/>
          <w:szCs w:val="32"/>
          <w:lang w:val="en-US" w:eastAsia="en-US"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zh-TW" w:eastAsia="zh-CN" w:bidi="ar-SA"/>
          <w14:textFill>
            <w14:solidFill>
              <w14:schemeClr w14:val="tx1"/>
            </w14:solidFill>
          </w14:textFill>
        </w:rPr>
        <w:t>省医保行政部门在评估协议中应明确定点评估机构退出规则，并明确评估协议中止、解除等措施的适用情形、具体处理程序要求等。各级医保经办机构结合质量管理、投诉举报、日常检查等情况，综合利用信息技术等手段，组织对定点评估机构和评估人员进行履约管理。</w:t>
      </w:r>
    </w:p>
    <w:p>
      <w:pPr>
        <w:pStyle w:val="5"/>
        <w:keepNext w:val="0"/>
        <w:keepLines w:val="0"/>
        <w:pageBreakBefore w:val="0"/>
        <w:widowControl w:val="0"/>
        <w:kinsoku/>
        <w:wordWrap/>
        <w:overflowPunct/>
        <w:topLinePunct w:val="0"/>
        <w:autoSpaceDE/>
        <w:autoSpaceDN/>
        <w:bidi w:val="0"/>
        <w:adjustRightInd w:val="0"/>
        <w:snapToGrid w:val="0"/>
        <w:spacing w:line="560" w:lineRule="exact"/>
        <w:ind w:left="10" w:right="42" w:firstLine="644"/>
        <w:jc w:val="both"/>
        <w:textAlignment w:val="baseline"/>
        <w:rPr>
          <w:rFonts w:hint="eastAsia" w:ascii="仿宋_GB2312" w:hAnsi="仿宋_GB2312" w:eastAsia="仿宋_GB2312" w:cs="仿宋_GB2312"/>
          <w:color w:val="000000" w:themeColor="text1"/>
          <w:kern w:val="2"/>
          <w:sz w:val="32"/>
          <w:szCs w:val="32"/>
          <w:lang w:val="zh-TW" w:eastAsia="zh-TW" w:bidi="ar-SA"/>
          <w14:textFill>
            <w14:solidFill>
              <w14:schemeClr w14:val="tx1"/>
            </w14:solidFill>
          </w14:textFill>
        </w:rPr>
      </w:pPr>
      <w:r>
        <w:rPr>
          <w:rFonts w:hint="eastAsia" w:ascii="黑体" w:hAnsi="黑体" w:eastAsia="黑体" w:cs="黑体"/>
          <w:b w:val="0"/>
          <w:bCs w:val="0"/>
          <w:snapToGrid w:val="0"/>
          <w:color w:val="000000" w:themeColor="text1"/>
          <w:spacing w:val="1"/>
          <w:kern w:val="0"/>
          <w:sz w:val="32"/>
          <w:szCs w:val="32"/>
          <w:lang w:val="en-US" w:eastAsia="en-US" w:bidi="ar-SA"/>
          <w14:textFill>
            <w14:solidFill>
              <w14:schemeClr w14:val="tx1"/>
            </w14:solidFill>
          </w14:textFill>
        </w:rPr>
        <w:t>第四十三条</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zh-TW" w:eastAsia="zh-TW" w:bidi="ar-SA"/>
          <w14:textFill>
            <w14:solidFill>
              <w14:schemeClr w14:val="tx1"/>
            </w14:solidFill>
          </w14:textFill>
        </w:rPr>
        <w:t>定点</w:t>
      </w:r>
      <w:r>
        <w:rPr>
          <w:rFonts w:hint="eastAsia" w:ascii="仿宋_GB2312" w:hAnsi="仿宋_GB2312" w:eastAsia="仿宋_GB2312" w:cs="仿宋_GB2312"/>
          <w:color w:val="000000" w:themeColor="text1"/>
          <w:kern w:val="2"/>
          <w:sz w:val="32"/>
          <w:szCs w:val="32"/>
          <w:lang w:val="zh-TW" w:eastAsia="zh-CN" w:bidi="ar-SA"/>
          <w14:textFill>
            <w14:solidFill>
              <w14:schemeClr w14:val="tx1"/>
            </w14:solidFill>
          </w14:textFill>
        </w:rPr>
        <w:t>评估</w:t>
      </w:r>
      <w:r>
        <w:rPr>
          <w:rFonts w:hint="eastAsia" w:ascii="仿宋_GB2312" w:hAnsi="仿宋_GB2312" w:eastAsia="仿宋_GB2312" w:cs="仿宋_GB2312"/>
          <w:color w:val="000000" w:themeColor="text1"/>
          <w:kern w:val="2"/>
          <w:sz w:val="32"/>
          <w:szCs w:val="32"/>
          <w:lang w:val="zh-TW" w:eastAsia="zh-TW" w:bidi="ar-SA"/>
          <w14:textFill>
            <w14:solidFill>
              <w14:schemeClr w14:val="tx1"/>
            </w14:solidFill>
          </w14:textFill>
        </w:rPr>
        <w:t>机构应当配合</w:t>
      </w:r>
      <w:r>
        <w:rPr>
          <w:rFonts w:hint="eastAsia" w:ascii="仿宋_GB2312" w:hAnsi="仿宋_GB2312" w:eastAsia="仿宋_GB2312" w:cs="仿宋_GB2312"/>
          <w:color w:val="000000" w:themeColor="text1"/>
          <w:kern w:val="2"/>
          <w:sz w:val="32"/>
          <w:szCs w:val="32"/>
          <w:lang w:val="zh-TW" w:eastAsia="zh-CN" w:bidi="ar-SA"/>
          <w14:textFill>
            <w14:solidFill>
              <w14:schemeClr w14:val="tx1"/>
            </w14:solidFill>
          </w14:textFill>
        </w:rPr>
        <w:t>各级医保行政部门和医保</w:t>
      </w:r>
      <w:r>
        <w:rPr>
          <w:rFonts w:hint="eastAsia" w:ascii="仿宋_GB2312" w:hAnsi="仿宋_GB2312" w:eastAsia="仿宋_GB2312" w:cs="仿宋_GB2312"/>
          <w:color w:val="000000" w:themeColor="text1"/>
          <w:kern w:val="2"/>
          <w:sz w:val="32"/>
          <w:szCs w:val="32"/>
          <w:lang w:val="zh-TW" w:eastAsia="zh-TW" w:bidi="ar-SA"/>
          <w14:textFill>
            <w14:solidFill>
              <w14:schemeClr w14:val="tx1"/>
            </w14:solidFill>
          </w14:textFill>
        </w:rPr>
        <w:t>经办机构的调查、审核及监督管理，如实提供监督检查所需的相关材料，不得虚报瞒报、弄虚作假，接受审计和社会监督。</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val="0"/>
          <w:snapToGrid w:val="0"/>
          <w:color w:val="000000" w:themeColor="text1"/>
          <w:spacing w:val="1"/>
          <w:kern w:val="0"/>
          <w:sz w:val="32"/>
          <w:szCs w:val="32"/>
          <w:lang w:eastAsia="en-US"/>
          <w14:textFill>
            <w14:solidFill>
              <w14:schemeClr w14:val="tx1"/>
            </w14:solidFill>
          </w14:textFill>
        </w:rPr>
        <w:t>第</w:t>
      </w:r>
      <w:r>
        <w:rPr>
          <w:rFonts w:hint="eastAsia" w:ascii="黑体" w:hAnsi="黑体" w:eastAsia="黑体" w:cs="黑体"/>
          <w:b w:val="0"/>
          <w:bCs w:val="0"/>
          <w:snapToGrid w:val="0"/>
          <w:color w:val="000000" w:themeColor="text1"/>
          <w:spacing w:val="1"/>
          <w:kern w:val="0"/>
          <w:sz w:val="32"/>
          <w:szCs w:val="32"/>
          <w:lang w:val="en-US" w:eastAsia="en-US" w:bidi="ar-SA"/>
          <w14:textFill>
            <w14:solidFill>
              <w14:schemeClr w14:val="tx1"/>
            </w14:solidFill>
          </w14:textFill>
        </w:rPr>
        <w:t>四十四</w:t>
      </w:r>
      <w:r>
        <w:rPr>
          <w:rFonts w:hint="eastAsia" w:ascii="黑体" w:hAnsi="黑体" w:eastAsia="黑体" w:cs="黑体"/>
          <w:b w:val="0"/>
          <w:bCs w:val="0"/>
          <w:snapToGrid w:val="0"/>
          <w:color w:val="000000" w:themeColor="text1"/>
          <w:spacing w:val="1"/>
          <w:kern w:val="0"/>
          <w:sz w:val="32"/>
          <w:szCs w:val="32"/>
          <w:lang w:eastAsia="en-US"/>
          <w14:textFill>
            <w14:solidFill>
              <w14:schemeClr w14:val="tx1"/>
            </w14:solidFill>
          </w14:textFill>
        </w:rPr>
        <w:t>条</w:t>
      </w:r>
      <w:r>
        <w:rPr>
          <w:rFonts w:hint="eastAsia" w:ascii="黑体" w:hAnsi="黑体" w:eastAsia="黑体" w:cs="黑体"/>
          <w:snapToGrid w:val="0"/>
          <w:color w:val="000000" w:themeColor="text1"/>
          <w:spacing w:val="1"/>
          <w:kern w:val="0"/>
          <w:sz w:val="32"/>
          <w:szCs w:val="32"/>
          <w:lang w:val="en-US" w:eastAsia="en-US"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zh-TW" w:eastAsia="zh-CN" w:bidi="ar-SA"/>
          <w14:textFill>
            <w14:solidFill>
              <w14:schemeClr w14:val="tx1"/>
            </w14:solidFill>
          </w14:textFill>
        </w:rPr>
        <w:t>省医</w:t>
      </w:r>
      <w:r>
        <w:rPr>
          <w:rFonts w:hint="eastAsia" w:ascii="仿宋_GB2312" w:hAnsi="仿宋_GB2312" w:eastAsia="仿宋_GB2312" w:cs="仿宋_GB2312"/>
          <w:color w:val="000000" w:themeColor="text1"/>
          <w:sz w:val="32"/>
          <w:szCs w:val="32"/>
          <w:lang w:eastAsia="zh-CN"/>
          <w14:textFill>
            <w14:solidFill>
              <w14:schemeClr w14:val="tx1"/>
            </w14:solidFill>
          </w14:textFill>
        </w:rPr>
        <w:t>保经办机构</w:t>
      </w:r>
      <w:r>
        <w:rPr>
          <w:rFonts w:hint="eastAsia" w:ascii="仿宋_GB2312" w:hAnsi="仿宋_GB2312" w:eastAsia="仿宋_GB2312" w:cs="仿宋_GB2312"/>
          <w:color w:val="000000" w:themeColor="text1"/>
          <w:sz w:val="32"/>
          <w:szCs w:val="32"/>
          <w14:textFill>
            <w14:solidFill>
              <w14:schemeClr w14:val="tx1"/>
            </w14:solidFill>
          </w14:textFill>
        </w:rPr>
        <w:t>应组织对定点评估机构开展考核评价，考核结果与评估服务协议续签、服务费用支付等挂钩。考核评价办法由</w:t>
      </w:r>
      <w:r>
        <w:rPr>
          <w:rFonts w:hint="eastAsia" w:ascii="仿宋_GB2312" w:hAnsi="仿宋_GB2312" w:eastAsia="仿宋_GB2312" w:cs="仿宋_GB2312"/>
          <w:color w:val="000000" w:themeColor="text1"/>
          <w:sz w:val="32"/>
          <w:szCs w:val="32"/>
          <w:lang w:eastAsia="zh-CN"/>
          <w14:textFill>
            <w14:solidFill>
              <w14:schemeClr w14:val="tx1"/>
            </w14:solidFill>
          </w14:textFill>
        </w:rPr>
        <w:t>省医保经办机构另行</w:t>
      </w:r>
      <w:r>
        <w:rPr>
          <w:rFonts w:hint="eastAsia" w:ascii="仿宋_GB2312" w:hAnsi="仿宋_GB2312" w:eastAsia="仿宋_GB2312" w:cs="仿宋_GB2312"/>
          <w:color w:val="000000" w:themeColor="text1"/>
          <w:sz w:val="32"/>
          <w:szCs w:val="32"/>
          <w14:textFill>
            <w14:solidFill>
              <w14:schemeClr w14:val="tx1"/>
            </w14:solidFill>
          </w14:textFill>
        </w:rPr>
        <w:t>制定</w:t>
      </w:r>
      <w:r>
        <w:rPr>
          <w:rFonts w:hint="eastAsia" w:ascii="仿宋_GB2312" w:hAnsi="仿宋_GB2312" w:eastAsia="仿宋_GB2312" w:cs="仿宋_GB2312"/>
          <w:color w:val="000000" w:themeColor="text1"/>
          <w:sz w:val="32"/>
          <w:szCs w:val="32"/>
          <w:lang w:eastAsia="zh-CN"/>
          <w14:textFill>
            <w14:solidFill>
              <w14:schemeClr w14:val="tx1"/>
            </w14:solidFill>
          </w14:textFill>
        </w:rPr>
        <w:t>，并报省医保行政部门事前备案后实施</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5"/>
        <w:keepNext w:val="0"/>
        <w:keepLines w:val="0"/>
        <w:pageBreakBefore w:val="0"/>
        <w:widowControl w:val="0"/>
        <w:kinsoku/>
        <w:wordWrap/>
        <w:overflowPunct/>
        <w:topLinePunct w:val="0"/>
        <w:autoSpaceDE/>
        <w:autoSpaceDN/>
        <w:bidi w:val="0"/>
        <w:adjustRightInd w:val="0"/>
        <w:snapToGrid w:val="0"/>
        <w:spacing w:line="560" w:lineRule="exact"/>
        <w:ind w:left="10" w:right="42" w:firstLine="644"/>
        <w:jc w:val="both"/>
        <w:textAlignment w:val="baseline"/>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snapToGrid w:val="0"/>
          <w:color w:val="000000" w:themeColor="text1"/>
          <w:spacing w:val="1"/>
          <w:kern w:val="0"/>
          <w:sz w:val="32"/>
          <w:szCs w:val="32"/>
          <w:lang w:val="en-US" w:eastAsia="en-US" w:bidi="ar-SA"/>
          <w14:textFill>
            <w14:solidFill>
              <w14:schemeClr w14:val="tx1"/>
            </w14:solidFill>
          </w14:textFill>
        </w:rPr>
        <w:t>第四十五条</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定点评估机构或其评估人员违反长护险政策规定，欺诈骗取长护险基金的，属于法律、法规和规章规定范畴的，依法给予行政处罚。涉嫌违法犯罪的，依法移送司法机关处理。</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color w:val="000000" w:themeColor="text1"/>
          <w:kern w:val="2"/>
          <w:sz w:val="32"/>
          <w:szCs w:val="32"/>
          <w:lang w:val="zh-TW" w:eastAsia="zh-TW" w:bidi="ar-SA"/>
          <w14:textFill>
            <w14:solidFill>
              <w14:schemeClr w14:val="tx1"/>
            </w14:solidFill>
          </w14:textFill>
        </w:rPr>
      </w:pPr>
      <w:r>
        <w:rPr>
          <w:rFonts w:hint="eastAsia" w:ascii="黑体" w:hAnsi="黑体" w:eastAsia="黑体" w:cs="黑体"/>
          <w:b w:val="0"/>
          <w:bCs w:val="0"/>
          <w:snapToGrid w:val="0"/>
          <w:color w:val="000000" w:themeColor="text1"/>
          <w:spacing w:val="1"/>
          <w:kern w:val="0"/>
          <w:sz w:val="32"/>
          <w:szCs w:val="32"/>
          <w:lang w:val="en-US" w:eastAsia="en-US" w:bidi="ar-SA"/>
          <w14:textFill>
            <w14:solidFill>
              <w14:schemeClr w14:val="tx1"/>
            </w14:solidFill>
          </w14:textFill>
        </w:rPr>
        <w:t>第四十六条</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zh-TW" w:eastAsia="zh-CN" w:bidi="ar-SA"/>
          <w14:textFill>
            <w14:solidFill>
              <w14:schemeClr w14:val="tx1"/>
            </w14:solidFill>
          </w14:textFill>
        </w:rPr>
        <w:t>各级医保行政部门</w:t>
      </w:r>
      <w:r>
        <w:rPr>
          <w:rFonts w:hint="eastAsia" w:ascii="仿宋_GB2312" w:hAnsi="仿宋_GB2312" w:eastAsia="仿宋_GB2312" w:cs="仿宋_GB2312"/>
          <w:color w:val="000000" w:themeColor="text1"/>
          <w:kern w:val="2"/>
          <w:sz w:val="32"/>
          <w:szCs w:val="32"/>
          <w:lang w:val="zh-TW" w:eastAsia="zh-TW"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zh-TW" w:eastAsia="zh-CN" w:bidi="ar-SA"/>
          <w14:textFill>
            <w14:solidFill>
              <w14:schemeClr w14:val="tx1"/>
            </w14:solidFill>
          </w14:textFill>
        </w:rPr>
        <w:t>医保</w:t>
      </w:r>
      <w:r>
        <w:rPr>
          <w:rFonts w:hint="eastAsia" w:ascii="仿宋_GB2312" w:hAnsi="仿宋_GB2312" w:eastAsia="仿宋_GB2312" w:cs="仿宋_GB2312"/>
          <w:color w:val="000000" w:themeColor="text1"/>
          <w:kern w:val="2"/>
          <w:sz w:val="32"/>
          <w:szCs w:val="32"/>
          <w:lang w:val="zh-TW" w:eastAsia="zh-TW" w:bidi="ar-SA"/>
          <w14:textFill>
            <w14:solidFill>
              <w14:schemeClr w14:val="tx1"/>
            </w14:solidFill>
          </w14:textFill>
        </w:rPr>
        <w:t>经办机构应拓宽监督途径，创新监督方式，通过满意度调查、第三方评价、聘请社会监督员等方式对定点</w:t>
      </w:r>
      <w:r>
        <w:rPr>
          <w:rFonts w:hint="eastAsia" w:ascii="仿宋_GB2312" w:hAnsi="仿宋_GB2312" w:eastAsia="仿宋_GB2312" w:cs="仿宋_GB2312"/>
          <w:color w:val="000000" w:themeColor="text1"/>
          <w:kern w:val="2"/>
          <w:sz w:val="32"/>
          <w:szCs w:val="32"/>
          <w:lang w:val="zh-TW" w:eastAsia="zh-CN" w:bidi="ar-SA"/>
          <w14:textFill>
            <w14:solidFill>
              <w14:schemeClr w14:val="tx1"/>
            </w14:solidFill>
          </w14:textFill>
        </w:rPr>
        <w:t>评估</w:t>
      </w:r>
      <w:r>
        <w:rPr>
          <w:rFonts w:hint="eastAsia" w:ascii="仿宋_GB2312" w:hAnsi="仿宋_GB2312" w:eastAsia="仿宋_GB2312" w:cs="仿宋_GB2312"/>
          <w:color w:val="000000" w:themeColor="text1"/>
          <w:kern w:val="2"/>
          <w:sz w:val="32"/>
          <w:szCs w:val="32"/>
          <w:lang w:val="zh-TW" w:eastAsia="zh-TW" w:bidi="ar-SA"/>
          <w14:textFill>
            <w14:solidFill>
              <w14:schemeClr w14:val="tx1"/>
            </w14:solidFill>
          </w14:textFill>
        </w:rPr>
        <w:t>机构进行社会监督，畅通举报投诉渠道，及时发现问题并进行处理。</w:t>
      </w:r>
    </w:p>
    <w:p>
      <w:pPr>
        <w:pStyle w:val="5"/>
        <w:keepNext w:val="0"/>
        <w:keepLines w:val="0"/>
        <w:pageBreakBefore w:val="0"/>
        <w:widowControl w:val="0"/>
        <w:kinsoku/>
        <w:wordWrap/>
        <w:overflowPunct/>
        <w:topLinePunct w:val="0"/>
        <w:autoSpaceDE/>
        <w:autoSpaceDN/>
        <w:bidi w:val="0"/>
        <w:adjustRightInd w:val="0"/>
        <w:snapToGrid w:val="0"/>
        <w:spacing w:line="560" w:lineRule="exact"/>
        <w:ind w:left="10" w:right="42" w:firstLine="644"/>
        <w:jc w:val="both"/>
        <w:textAlignment w:val="baseline"/>
        <w:rPr>
          <w:rFonts w:hint="eastAsia" w:ascii="仿宋_GB2312" w:hAnsi="仿宋_GB2312" w:eastAsia="仿宋_GB2312" w:cs="仿宋_GB2312"/>
          <w:b/>
          <w:bCs/>
          <w:snapToGrid w:val="0"/>
          <w:color w:val="000000" w:themeColor="text1"/>
          <w:kern w:val="0"/>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w:t>
      </w:r>
      <w:r>
        <w:rPr>
          <w:rFonts w:hint="eastAsia" w:ascii="黑体" w:hAnsi="黑体" w:eastAsia="黑体" w:cs="黑体"/>
          <w:b w:val="0"/>
          <w:bCs w:val="0"/>
          <w:color w:val="000000" w:themeColor="text1"/>
          <w:sz w:val="32"/>
          <w:szCs w:val="32"/>
          <w:lang w:eastAsia="zh-CN"/>
          <w14:textFill>
            <w14:solidFill>
              <w14:schemeClr w14:val="tx1"/>
            </w14:solidFill>
          </w14:textFill>
        </w:rPr>
        <w:t xml:space="preserve">七章  </w:t>
      </w:r>
      <w:r>
        <w:rPr>
          <w:rFonts w:hint="eastAsia" w:ascii="黑体" w:hAnsi="黑体" w:eastAsia="黑体" w:cs="黑体"/>
          <w:b w:val="0"/>
          <w:bCs w:val="0"/>
          <w:color w:val="000000" w:themeColor="text1"/>
          <w:sz w:val="32"/>
          <w:szCs w:val="32"/>
          <w14:textFill>
            <w14:solidFill>
              <w14:schemeClr w14:val="tx1"/>
            </w14:solidFill>
          </w14:textFill>
        </w:rPr>
        <w:t>附</w:t>
      </w: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w:t>
      </w:r>
      <w:r>
        <w:rPr>
          <w:rFonts w:hint="eastAsia" w:ascii="黑体" w:hAnsi="黑体" w:eastAsia="黑体" w:cs="黑体"/>
          <w:b w:val="0"/>
          <w:bCs w:val="0"/>
          <w:color w:val="000000" w:themeColor="text1"/>
          <w:sz w:val="32"/>
          <w:szCs w:val="32"/>
          <w14:textFill>
            <w14:solidFill>
              <w14:schemeClr w14:val="tx1"/>
            </w14:solidFill>
          </w14:textFill>
        </w:rPr>
        <w:t>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w:t>
      </w:r>
      <w:r>
        <w:rPr>
          <w:rFonts w:hint="eastAsia" w:ascii="黑体" w:hAnsi="黑体" w:eastAsia="黑体" w:cs="黑体"/>
          <w:b w:val="0"/>
          <w:bCs w:val="0"/>
          <w:snapToGrid w:val="0"/>
          <w:color w:val="000000" w:themeColor="text1"/>
          <w:spacing w:val="1"/>
          <w:kern w:val="0"/>
          <w:sz w:val="32"/>
          <w:szCs w:val="32"/>
          <w:lang w:val="en-US" w:eastAsia="zh-CN" w:bidi="ar-SA"/>
          <w14:textFill>
            <w14:solidFill>
              <w14:schemeClr w14:val="tx1"/>
            </w14:solidFill>
          </w14:textFill>
        </w:rPr>
        <w:t>四十七</w:t>
      </w:r>
      <w:r>
        <w:rPr>
          <w:rFonts w:hint="eastAsia" w:ascii="黑体" w:hAnsi="黑体" w:eastAsia="黑体" w:cs="黑体"/>
          <w:b w:val="0"/>
          <w:bCs w:val="0"/>
          <w:color w:val="000000" w:themeColor="text1"/>
          <w:sz w:val="32"/>
          <w:szCs w:val="32"/>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依托医疗机构、劳动能力鉴定机构、商业保险机构等</w:t>
      </w:r>
      <w:r>
        <w:rPr>
          <w:rFonts w:hint="eastAsia" w:ascii="仿宋_GB2312" w:hAnsi="仿宋_GB2312" w:eastAsia="仿宋_GB2312" w:cs="仿宋_GB2312"/>
          <w:color w:val="000000" w:themeColor="text1"/>
          <w:sz w:val="32"/>
          <w:szCs w:val="32"/>
          <w14:textFill>
            <w14:solidFill>
              <w14:schemeClr w14:val="tx1"/>
            </w14:solidFill>
          </w14:textFill>
        </w:rPr>
        <w:t>实施评估的，对有关机构的管理，参照本</w:t>
      </w:r>
      <w:r>
        <w:rPr>
          <w:rFonts w:hint="eastAsia" w:ascii="仿宋_GB2312" w:hAnsi="仿宋_GB2312" w:eastAsia="仿宋_GB2312" w:cs="仿宋_GB2312"/>
          <w:color w:val="000000" w:themeColor="text1"/>
          <w:sz w:val="32"/>
          <w:szCs w:val="32"/>
          <w:lang w:eastAsia="zh-CN"/>
          <w14:textFill>
            <w14:solidFill>
              <w14:schemeClr w14:val="tx1"/>
            </w14:solidFill>
          </w14:textFill>
        </w:rPr>
        <w:t>细则</w:t>
      </w:r>
      <w:r>
        <w:rPr>
          <w:rFonts w:hint="eastAsia" w:ascii="仿宋_GB2312" w:hAnsi="仿宋_GB2312" w:eastAsia="仿宋_GB2312" w:cs="仿宋_GB2312"/>
          <w:color w:val="000000" w:themeColor="text1"/>
          <w:sz w:val="32"/>
          <w:szCs w:val="32"/>
          <w14:textFill>
            <w14:solidFill>
              <w14:schemeClr w14:val="tx1"/>
            </w14:solidFill>
          </w14:textFill>
        </w:rPr>
        <w:t>执行。按照政府采购有关规定确定定点评估机构。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w:t>
      </w:r>
      <w:r>
        <w:rPr>
          <w:rFonts w:hint="eastAsia" w:ascii="黑体" w:hAnsi="黑体" w:eastAsia="黑体" w:cs="黑体"/>
          <w:b w:val="0"/>
          <w:bCs w:val="0"/>
          <w:snapToGrid/>
          <w:color w:val="000000" w:themeColor="text1"/>
          <w:spacing w:val="0"/>
          <w:kern w:val="2"/>
          <w:sz w:val="32"/>
          <w:szCs w:val="32"/>
          <w:lang w:val="en-US" w:eastAsia="zh-CN" w:bidi="ar-SA"/>
          <w14:textFill>
            <w14:solidFill>
              <w14:schemeClr w14:val="tx1"/>
            </w14:solidFill>
          </w14:textFill>
        </w:rPr>
        <w:t>四十八</w:t>
      </w:r>
      <w:r>
        <w:rPr>
          <w:rFonts w:hint="eastAsia" w:ascii="黑体" w:hAnsi="黑体" w:eastAsia="黑体" w:cs="黑体"/>
          <w:b w:val="0"/>
          <w:bCs w:val="0"/>
          <w:color w:val="000000" w:themeColor="text1"/>
          <w:sz w:val="32"/>
          <w:szCs w:val="32"/>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本</w:t>
      </w:r>
      <w:r>
        <w:rPr>
          <w:rFonts w:hint="eastAsia" w:ascii="仿宋_GB2312" w:hAnsi="仿宋_GB2312" w:eastAsia="仿宋_GB2312" w:cs="仿宋_GB2312"/>
          <w:color w:val="000000" w:themeColor="text1"/>
          <w:sz w:val="32"/>
          <w:szCs w:val="32"/>
          <w:lang w:eastAsia="zh-CN"/>
          <w14:textFill>
            <w14:solidFill>
              <w14:schemeClr w14:val="tx1"/>
            </w14:solidFill>
          </w14:textFill>
        </w:rPr>
        <w:t>细则</w:t>
      </w:r>
      <w:r>
        <w:rPr>
          <w:rFonts w:hint="eastAsia" w:ascii="仿宋_GB2312" w:hAnsi="仿宋_GB2312" w:eastAsia="仿宋_GB2312" w:cs="仿宋_GB2312"/>
          <w:color w:val="000000" w:themeColor="text1"/>
          <w:sz w:val="32"/>
          <w:szCs w:val="32"/>
          <w14:textFill>
            <w14:solidFill>
              <w14:schemeClr w14:val="tx1"/>
            </w14:solidFill>
          </w14:textFill>
        </w:rPr>
        <w:t>由</w:t>
      </w:r>
      <w:r>
        <w:rPr>
          <w:rFonts w:hint="eastAsia" w:ascii="仿宋_GB2312" w:hAnsi="仿宋_GB2312" w:eastAsia="仿宋_GB2312" w:cs="仿宋_GB2312"/>
          <w:color w:val="000000" w:themeColor="text1"/>
          <w:sz w:val="32"/>
          <w:szCs w:val="32"/>
          <w:lang w:eastAsia="zh-CN"/>
          <w14:textFill>
            <w14:solidFill>
              <w14:schemeClr w14:val="tx1"/>
            </w14:solidFill>
          </w14:textFill>
        </w:rPr>
        <w:t>海南省</w:t>
      </w:r>
      <w:r>
        <w:rPr>
          <w:rFonts w:hint="eastAsia" w:ascii="仿宋_GB2312" w:hAnsi="仿宋_GB2312" w:eastAsia="仿宋_GB2312" w:cs="仿宋_GB2312"/>
          <w:color w:val="000000" w:themeColor="text1"/>
          <w:sz w:val="32"/>
          <w:szCs w:val="32"/>
          <w14:textFill>
            <w14:solidFill>
              <w14:schemeClr w14:val="tx1"/>
            </w14:solidFill>
          </w14:textFill>
        </w:rPr>
        <w:t>医疗保障局负责解释</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黑体" w:hAnsi="黑体" w:eastAsia="黑体" w:cs="黑体"/>
          <w:b w:val="0"/>
          <w:bCs w:val="0"/>
          <w:snapToGrid/>
          <w:color w:val="000000" w:themeColor="text1"/>
          <w:spacing w:val="0"/>
          <w:kern w:val="2"/>
          <w:sz w:val="32"/>
          <w:szCs w:val="32"/>
          <w:lang w:val="en-US" w:eastAsia="en-US" w:bidi="ar-SA"/>
          <w14:textFill>
            <w14:solidFill>
              <w14:schemeClr w14:val="tx1"/>
            </w14:solidFill>
          </w14:textFill>
        </w:rPr>
        <w:t>第</w:t>
      </w:r>
      <w:r>
        <w:rPr>
          <w:rFonts w:hint="eastAsia" w:ascii="黑体" w:hAnsi="黑体" w:eastAsia="黑体" w:cs="黑体"/>
          <w:b w:val="0"/>
          <w:bCs w:val="0"/>
          <w:snapToGrid/>
          <w:color w:val="000000" w:themeColor="text1"/>
          <w:spacing w:val="0"/>
          <w:kern w:val="2"/>
          <w:sz w:val="32"/>
          <w:szCs w:val="32"/>
          <w:lang w:val="en-US" w:eastAsia="zh-CN" w:bidi="ar-SA"/>
          <w14:textFill>
            <w14:solidFill>
              <w14:schemeClr w14:val="tx1"/>
            </w14:solidFill>
          </w14:textFill>
        </w:rPr>
        <w:t>四十九</w:t>
      </w:r>
      <w:r>
        <w:rPr>
          <w:rFonts w:hint="eastAsia" w:ascii="黑体" w:hAnsi="黑体" w:eastAsia="黑体" w:cs="黑体"/>
          <w:b w:val="0"/>
          <w:bCs w:val="0"/>
          <w:snapToGrid/>
          <w:color w:val="000000" w:themeColor="text1"/>
          <w:spacing w:val="0"/>
          <w:kern w:val="2"/>
          <w:sz w:val="32"/>
          <w:szCs w:val="32"/>
          <w:lang w:val="en-US" w:eastAsia="en-US" w:bidi="ar-SA"/>
          <w14:textFill>
            <w14:solidFill>
              <w14:schemeClr w14:val="tx1"/>
            </w14:solidFill>
          </w14:textFill>
        </w:rPr>
        <w:t>条</w:t>
      </w:r>
      <w:r>
        <w:rPr>
          <w:rFonts w:hint="eastAsia" w:ascii="仿宋_GB2312" w:hAnsi="仿宋_GB2312" w:eastAsia="仿宋_GB2312" w:cs="仿宋_GB2312"/>
          <w:b w:val="0"/>
          <w:bCs w:val="0"/>
          <w:snapToGrid w:val="0"/>
          <w:color w:val="000000" w:themeColor="text1"/>
          <w:spacing w:val="1"/>
          <w:kern w:val="0"/>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本细则自印发之日起执行。</w:t>
      </w:r>
    </w:p>
    <w:p>
      <w:pPr>
        <w:autoSpaceDE/>
        <w:autoSpaceDN/>
        <w:spacing w:line="560" w:lineRule="exact"/>
        <w:ind w:firstLine="0" w:firstLineChars="0"/>
        <w:jc w:val="both"/>
        <w:outlineLvl w:val="0"/>
        <w:rPr>
          <w:rFonts w:hint="eastAsia" w:ascii="仿宋_GB2312" w:hAnsi="仿宋_GB2312" w:eastAsia="仿宋_GB2312" w:cs="仿宋_GB2312"/>
          <w:color w:val="auto"/>
          <w:kern w:val="2"/>
          <w:sz w:val="32"/>
          <w:szCs w:val="32"/>
          <w:lang w:val="en-US" w:eastAsia="zh-CN" w:bidi="ar-SA"/>
        </w:rPr>
        <w:sectPr>
          <w:footerReference r:id="rId3" w:type="default"/>
          <w:pgSz w:w="11906" w:h="16838"/>
          <w:pgMar w:top="1440" w:right="1800" w:bottom="1440" w:left="1800" w:header="851" w:footer="992" w:gutter="0"/>
          <w:pgNumType w:fmt="decimal" w:start="1"/>
          <w:cols w:space="425" w:num="1"/>
          <w:docGrid w:type="lines" w:linePitch="312" w:charSpace="0"/>
        </w:sectPr>
      </w:pPr>
    </w:p>
    <w:p>
      <w:pPr>
        <w:autoSpaceDE/>
        <w:autoSpaceDN/>
        <w:spacing w:line="600" w:lineRule="exact"/>
        <w:ind w:firstLine="0" w:firstLineChars="0"/>
        <w:jc w:val="both"/>
        <w:outlineLvl w:val="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附件1</w:t>
      </w:r>
    </w:p>
    <w:p>
      <w:pPr>
        <w:pStyle w:val="2"/>
        <w:rPr>
          <w:rFonts w:hint="eastAsia"/>
          <w:lang w:val="en-US" w:eastAsia="zh-CN"/>
        </w:rPr>
      </w:pPr>
    </w:p>
    <w:p>
      <w:pPr>
        <w:autoSpaceDE/>
        <w:autoSpaceDN/>
        <w:spacing w:line="600" w:lineRule="exact"/>
        <w:ind w:firstLine="0" w:firstLineChars="0"/>
        <w:jc w:val="center"/>
        <w:outlineLvl w:val="0"/>
        <w:rPr>
          <w:rFonts w:hint="eastAsia" w:ascii="方正小标宋_GBK" w:hAnsi="方正小标宋_GBK" w:eastAsia="方正小标宋_GBK" w:cs="方正小标宋_GBK"/>
          <w:color w:val="auto"/>
          <w:spacing w:val="-11"/>
          <w:kern w:val="2"/>
          <w:sz w:val="44"/>
          <w:szCs w:val="44"/>
          <w:lang w:val="en-US" w:eastAsia="zh-CN" w:bidi="ar-SA"/>
        </w:rPr>
      </w:pPr>
      <w:r>
        <w:rPr>
          <w:rFonts w:hint="eastAsia" w:ascii="方正小标宋_GBK" w:hAnsi="方正小标宋_GBK" w:eastAsia="方正小标宋_GBK" w:cs="方正小标宋_GBK"/>
          <w:color w:val="auto"/>
          <w:spacing w:val="-11"/>
          <w:w w:val="90"/>
          <w:kern w:val="2"/>
          <w:sz w:val="44"/>
          <w:szCs w:val="44"/>
          <w:lang w:val="en-US" w:eastAsia="zh-CN" w:bidi="ar-SA"/>
        </w:rPr>
        <w:t>海南省长期护理保险定点失能等级评估机构申请表</w:t>
      </w:r>
    </w:p>
    <w:tbl>
      <w:tblPr>
        <w:tblStyle w:val="10"/>
        <w:tblpPr w:leftFromText="180" w:rightFromText="180" w:vertAnchor="text" w:horzAnchor="page" w:tblpX="962" w:tblpY="565"/>
        <w:tblOverlap w:val="never"/>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383"/>
        <w:gridCol w:w="1478"/>
        <w:gridCol w:w="900"/>
        <w:gridCol w:w="120"/>
        <w:gridCol w:w="1125"/>
        <w:gridCol w:w="573"/>
        <w:gridCol w:w="732"/>
        <w:gridCol w:w="463"/>
        <w:gridCol w:w="662"/>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22"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机构名称</w:t>
            </w:r>
          </w:p>
        </w:tc>
        <w:tc>
          <w:tcPr>
            <w:tcW w:w="8258" w:type="dxa"/>
            <w:gridSpan w:val="9"/>
          </w:tcPr>
          <w:p>
            <w:pPr>
              <w:keepNext w:val="0"/>
              <w:keepLines w:val="0"/>
              <w:pageBreakBefore w:val="0"/>
              <w:widowControl w:val="0"/>
              <w:kinsoku w:val="0"/>
              <w:wordWrap/>
              <w:overflowPunct/>
              <w:topLinePunct w:val="0"/>
              <w:autoSpaceDE/>
              <w:autoSpaceDN/>
              <w:bidi w:val="0"/>
              <w:adjustRightInd w:val="0"/>
              <w:snapToGrid w:val="0"/>
              <w:spacing w:line="360" w:lineRule="exact"/>
              <w:jc w:val="left"/>
              <w:textAlignment w:val="baseline"/>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22"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单位地址</w:t>
            </w:r>
          </w:p>
        </w:tc>
        <w:tc>
          <w:tcPr>
            <w:tcW w:w="4196" w:type="dxa"/>
            <w:gridSpan w:val="5"/>
          </w:tcPr>
          <w:p>
            <w:pPr>
              <w:keepNext w:val="0"/>
              <w:keepLines w:val="0"/>
              <w:pageBreakBefore w:val="0"/>
              <w:widowControl w:val="0"/>
              <w:kinsoku w:val="0"/>
              <w:wordWrap/>
              <w:overflowPunct/>
              <w:topLinePunct w:val="0"/>
              <w:autoSpaceDE/>
              <w:autoSpaceDN/>
              <w:bidi w:val="0"/>
              <w:adjustRightInd w:val="0"/>
              <w:snapToGrid w:val="0"/>
              <w:spacing w:line="360" w:lineRule="exact"/>
              <w:jc w:val="left"/>
              <w:textAlignment w:val="baseline"/>
              <w:rPr>
                <w:rFonts w:hint="eastAsia" w:ascii="仿宋_GB2312" w:hAnsi="仿宋_GB2312" w:eastAsia="仿宋_GB2312" w:cs="仿宋_GB2312"/>
                <w:color w:val="auto"/>
                <w:kern w:val="2"/>
                <w:sz w:val="24"/>
                <w:szCs w:val="24"/>
                <w:vertAlign w:val="baseline"/>
                <w:lang w:val="en-US" w:eastAsia="zh-CN" w:bidi="ar-SA"/>
              </w:rPr>
            </w:pPr>
          </w:p>
        </w:tc>
        <w:tc>
          <w:tcPr>
            <w:tcW w:w="119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邮政编码</w:t>
            </w:r>
          </w:p>
        </w:tc>
        <w:tc>
          <w:tcPr>
            <w:tcW w:w="2867" w:type="dxa"/>
            <w:gridSpan w:val="2"/>
          </w:tcPr>
          <w:p>
            <w:pPr>
              <w:keepNext w:val="0"/>
              <w:keepLines w:val="0"/>
              <w:pageBreakBefore w:val="0"/>
              <w:widowControl w:val="0"/>
              <w:kinsoku w:val="0"/>
              <w:wordWrap/>
              <w:overflowPunct/>
              <w:topLinePunct w:val="0"/>
              <w:autoSpaceDE/>
              <w:autoSpaceDN/>
              <w:bidi w:val="0"/>
              <w:adjustRightInd w:val="0"/>
              <w:snapToGrid w:val="0"/>
              <w:spacing w:line="360" w:lineRule="exact"/>
              <w:jc w:val="left"/>
              <w:textAlignment w:val="baseline"/>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22"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法定代表人</w:t>
            </w:r>
          </w:p>
        </w:tc>
        <w:tc>
          <w:tcPr>
            <w:tcW w:w="2498" w:type="dxa"/>
            <w:gridSpan w:val="3"/>
          </w:tcPr>
          <w:p>
            <w:pPr>
              <w:keepNext w:val="0"/>
              <w:keepLines w:val="0"/>
              <w:pageBreakBefore w:val="0"/>
              <w:widowControl w:val="0"/>
              <w:kinsoku w:val="0"/>
              <w:wordWrap/>
              <w:overflowPunct/>
              <w:topLinePunct w:val="0"/>
              <w:autoSpaceDE/>
              <w:autoSpaceDN/>
              <w:bidi w:val="0"/>
              <w:adjustRightInd w:val="0"/>
              <w:snapToGrid w:val="0"/>
              <w:spacing w:line="360" w:lineRule="exact"/>
              <w:jc w:val="left"/>
              <w:textAlignment w:val="baseline"/>
              <w:rPr>
                <w:rFonts w:hint="eastAsia" w:ascii="仿宋_GB2312" w:hAnsi="仿宋_GB2312" w:eastAsia="仿宋_GB2312" w:cs="仿宋_GB2312"/>
                <w:color w:val="auto"/>
                <w:kern w:val="2"/>
                <w:sz w:val="24"/>
                <w:szCs w:val="24"/>
                <w:vertAlign w:val="baseline"/>
                <w:lang w:val="en-US" w:eastAsia="zh-CN" w:bidi="ar-SA"/>
              </w:rPr>
            </w:pPr>
          </w:p>
        </w:tc>
        <w:tc>
          <w:tcPr>
            <w:tcW w:w="1698"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联系电话</w:t>
            </w:r>
          </w:p>
        </w:tc>
        <w:tc>
          <w:tcPr>
            <w:tcW w:w="4062" w:type="dxa"/>
            <w:gridSpan w:val="4"/>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22"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联系人</w:t>
            </w:r>
          </w:p>
        </w:tc>
        <w:tc>
          <w:tcPr>
            <w:tcW w:w="2498" w:type="dxa"/>
            <w:gridSpan w:val="3"/>
          </w:tcPr>
          <w:p>
            <w:pPr>
              <w:keepNext w:val="0"/>
              <w:keepLines w:val="0"/>
              <w:pageBreakBefore w:val="0"/>
              <w:widowControl w:val="0"/>
              <w:kinsoku w:val="0"/>
              <w:wordWrap/>
              <w:overflowPunct/>
              <w:topLinePunct w:val="0"/>
              <w:autoSpaceDE/>
              <w:autoSpaceDN/>
              <w:bidi w:val="0"/>
              <w:adjustRightInd w:val="0"/>
              <w:snapToGrid w:val="0"/>
              <w:spacing w:line="360" w:lineRule="exact"/>
              <w:jc w:val="left"/>
              <w:textAlignment w:val="baseline"/>
              <w:rPr>
                <w:rFonts w:hint="eastAsia" w:ascii="仿宋_GB2312" w:hAnsi="仿宋_GB2312" w:eastAsia="仿宋_GB2312" w:cs="仿宋_GB2312"/>
                <w:color w:val="auto"/>
                <w:kern w:val="2"/>
                <w:sz w:val="24"/>
                <w:szCs w:val="24"/>
                <w:vertAlign w:val="baseline"/>
                <w:lang w:val="en-US" w:eastAsia="zh-CN" w:bidi="ar-SA"/>
              </w:rPr>
            </w:pPr>
          </w:p>
        </w:tc>
        <w:tc>
          <w:tcPr>
            <w:tcW w:w="1698"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联系电话</w:t>
            </w:r>
          </w:p>
        </w:tc>
        <w:tc>
          <w:tcPr>
            <w:tcW w:w="4062" w:type="dxa"/>
            <w:gridSpan w:val="4"/>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522"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机构类型</w:t>
            </w:r>
          </w:p>
        </w:tc>
        <w:tc>
          <w:tcPr>
            <w:tcW w:w="8258" w:type="dxa"/>
            <w:gridSpan w:val="9"/>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sym w:font="Wingdings 2" w:char="00A3"/>
            </w:r>
            <w:r>
              <w:rPr>
                <w:rFonts w:hint="eastAsia" w:ascii="仿宋_GB2312" w:hAnsi="仿宋_GB2312" w:eastAsia="仿宋_GB2312" w:cs="仿宋_GB2312"/>
                <w:color w:val="auto"/>
                <w:kern w:val="2"/>
                <w:sz w:val="21"/>
                <w:szCs w:val="21"/>
                <w:vertAlign w:val="baseline"/>
                <w:lang w:val="en-US" w:eastAsia="zh-CN" w:bidi="ar-SA"/>
              </w:rPr>
              <w:t xml:space="preserve">独立评估机构        </w:t>
            </w:r>
            <w:r>
              <w:rPr>
                <w:rFonts w:hint="eastAsia" w:ascii="仿宋_GB2312" w:hAnsi="仿宋_GB2312" w:eastAsia="仿宋_GB2312" w:cs="仿宋_GB2312"/>
                <w:color w:val="auto"/>
                <w:kern w:val="2"/>
                <w:sz w:val="21"/>
                <w:szCs w:val="21"/>
                <w:vertAlign w:val="baseline"/>
                <w:lang w:val="en-US" w:eastAsia="zh-CN" w:bidi="ar-SA"/>
              </w:rPr>
              <w:sym w:font="Wingdings 2" w:char="00A3"/>
            </w:r>
            <w:r>
              <w:rPr>
                <w:rFonts w:hint="eastAsia" w:ascii="仿宋_GB2312" w:hAnsi="仿宋_GB2312" w:eastAsia="仿宋_GB2312" w:cs="仿宋_GB2312"/>
                <w:color w:val="auto"/>
                <w:kern w:val="2"/>
                <w:sz w:val="21"/>
                <w:szCs w:val="21"/>
                <w:vertAlign w:val="baseline"/>
                <w:lang w:val="en-US" w:eastAsia="zh-CN" w:bidi="ar-SA"/>
              </w:rPr>
              <w:t xml:space="preserve">医疗机构       </w:t>
            </w:r>
            <w:r>
              <w:rPr>
                <w:rFonts w:hint="eastAsia" w:ascii="仿宋_GB2312" w:hAnsi="仿宋_GB2312" w:eastAsia="仿宋_GB2312" w:cs="仿宋_GB2312"/>
                <w:color w:val="auto"/>
                <w:kern w:val="2"/>
                <w:sz w:val="21"/>
                <w:szCs w:val="21"/>
                <w:vertAlign w:val="baseline"/>
                <w:lang w:val="en-US" w:eastAsia="zh-CN" w:bidi="ar-SA"/>
              </w:rPr>
              <w:sym w:font="Wingdings 2" w:char="00A3"/>
            </w:r>
            <w:r>
              <w:rPr>
                <w:rFonts w:hint="eastAsia" w:ascii="仿宋_GB2312" w:hAnsi="仿宋_GB2312" w:eastAsia="仿宋_GB2312" w:cs="仿宋_GB2312"/>
                <w:color w:val="auto"/>
                <w:kern w:val="2"/>
                <w:sz w:val="21"/>
                <w:szCs w:val="21"/>
                <w:vertAlign w:val="baseline"/>
                <w:lang w:val="en-US" w:eastAsia="zh-CN" w:bidi="ar-SA"/>
              </w:rPr>
              <w:t xml:space="preserve">劳动能力鉴定机构   </w:t>
            </w:r>
            <w:r>
              <w:rPr>
                <w:rFonts w:hint="eastAsia" w:ascii="仿宋_GB2312" w:hAnsi="仿宋_GB2312" w:eastAsia="仿宋_GB2312" w:cs="仿宋_GB2312"/>
                <w:color w:val="auto"/>
                <w:kern w:val="2"/>
                <w:sz w:val="21"/>
                <w:szCs w:val="21"/>
                <w:vertAlign w:val="baseline"/>
                <w:lang w:val="en-US" w:eastAsia="zh-CN" w:bidi="ar-SA"/>
              </w:rPr>
              <w:sym w:font="Wingdings 2" w:char="00A3"/>
            </w:r>
            <w:r>
              <w:rPr>
                <w:rFonts w:hint="eastAsia" w:ascii="仿宋_GB2312" w:hAnsi="仿宋_GB2312" w:eastAsia="仿宋_GB2312" w:cs="仿宋_GB2312"/>
                <w:color w:val="auto"/>
                <w:kern w:val="2"/>
                <w:sz w:val="21"/>
                <w:szCs w:val="21"/>
                <w:vertAlign w:val="baseline"/>
                <w:lang w:val="en-US" w:eastAsia="zh-CN" w:bidi="ar-SA"/>
              </w:rPr>
              <w:t xml:space="preserve">商业保险机构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780" w:type="dxa"/>
            <w:gridSpan w:val="11"/>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以下根据机构类型及实际情况对应填写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000" w:type="dxa"/>
            <w:gridSpan w:val="3"/>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执业许可证号</w:t>
            </w:r>
          </w:p>
        </w:tc>
        <w:tc>
          <w:tcPr>
            <w:tcW w:w="6780" w:type="dxa"/>
            <w:gridSpan w:val="8"/>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780" w:type="dxa"/>
            <w:gridSpan w:val="11"/>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1470" w:firstLineChars="700"/>
              <w:jc w:val="both"/>
              <w:textAlignment w:val="baseline"/>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sym w:font="Wingdings 2" w:char="00A3"/>
            </w:r>
            <w:r>
              <w:rPr>
                <w:rFonts w:hint="eastAsia" w:ascii="仿宋_GB2312" w:hAnsi="仿宋_GB2312" w:eastAsia="仿宋_GB2312" w:cs="仿宋_GB2312"/>
                <w:color w:val="auto"/>
                <w:kern w:val="2"/>
                <w:sz w:val="21"/>
                <w:szCs w:val="21"/>
                <w:vertAlign w:val="baseline"/>
                <w:lang w:val="en-US" w:eastAsia="zh-CN" w:bidi="ar-SA"/>
              </w:rPr>
              <w:t xml:space="preserve">事业单位法人证书号     </w:t>
            </w:r>
            <w:r>
              <w:rPr>
                <w:rFonts w:hint="eastAsia" w:ascii="仿宋_GB2312" w:hAnsi="仿宋_GB2312" w:eastAsia="仿宋_GB2312" w:cs="仿宋_GB2312"/>
                <w:color w:val="auto"/>
                <w:kern w:val="2"/>
                <w:sz w:val="21"/>
                <w:szCs w:val="21"/>
                <w:vertAlign w:val="baseline"/>
                <w:lang w:val="en-US" w:eastAsia="zh-CN" w:bidi="ar-SA"/>
              </w:rPr>
              <w:sym w:font="Wingdings 2" w:char="00A3"/>
            </w:r>
            <w:r>
              <w:rPr>
                <w:rFonts w:hint="eastAsia" w:ascii="仿宋_GB2312" w:hAnsi="仿宋_GB2312" w:eastAsia="仿宋_GB2312" w:cs="仿宋_GB2312"/>
                <w:color w:val="auto"/>
                <w:kern w:val="2"/>
                <w:sz w:val="21"/>
                <w:szCs w:val="21"/>
                <w:vertAlign w:val="baseline"/>
                <w:lang w:val="en-US" w:eastAsia="zh-CN" w:bidi="ar-SA"/>
              </w:rPr>
              <w:t xml:space="preserve">民办非企业单位等级证书号      </w:t>
            </w:r>
            <w:r>
              <w:rPr>
                <w:rFonts w:hint="eastAsia" w:ascii="仿宋_GB2312" w:hAnsi="仿宋_GB2312" w:eastAsia="仿宋_GB2312" w:cs="仿宋_GB2312"/>
                <w:color w:val="auto"/>
                <w:kern w:val="2"/>
                <w:sz w:val="21"/>
                <w:szCs w:val="21"/>
                <w:vertAlign w:val="baseline"/>
                <w:lang w:val="en-US" w:eastAsia="zh-CN" w:bidi="ar-SA"/>
              </w:rPr>
              <w:sym w:font="Wingdings 2" w:char="00A3"/>
            </w:r>
            <w:r>
              <w:rPr>
                <w:rFonts w:hint="eastAsia" w:ascii="仿宋_GB2312" w:hAnsi="仿宋_GB2312" w:eastAsia="仿宋_GB2312" w:cs="仿宋_GB2312"/>
                <w:color w:val="auto"/>
                <w:kern w:val="2"/>
                <w:sz w:val="21"/>
                <w:szCs w:val="21"/>
                <w:vertAlign w:val="baseline"/>
                <w:lang w:val="en-US" w:eastAsia="zh-CN" w:bidi="ar-SA"/>
              </w:rPr>
              <w:t>营业执照号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000" w:type="dxa"/>
            <w:gridSpan w:val="3"/>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机构证书号</w:t>
            </w:r>
          </w:p>
        </w:tc>
        <w:tc>
          <w:tcPr>
            <w:tcW w:w="6780" w:type="dxa"/>
            <w:gridSpan w:val="8"/>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139" w:type="dxa"/>
            <w:vMerge w:val="restart"/>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评估员</w:t>
            </w:r>
          </w:p>
        </w:tc>
        <w:tc>
          <w:tcPr>
            <w:tcW w:w="1861"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人员类别</w:t>
            </w:r>
          </w:p>
        </w:tc>
        <w:tc>
          <w:tcPr>
            <w:tcW w:w="900"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总人数</w:t>
            </w:r>
          </w:p>
        </w:tc>
        <w:tc>
          <w:tcPr>
            <w:tcW w:w="124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高级职称</w:t>
            </w:r>
          </w:p>
        </w:tc>
        <w:tc>
          <w:tcPr>
            <w:tcW w:w="130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中级职称</w:t>
            </w:r>
          </w:p>
        </w:tc>
        <w:tc>
          <w:tcPr>
            <w:tcW w:w="112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初级职称</w:t>
            </w:r>
          </w:p>
        </w:tc>
        <w:tc>
          <w:tcPr>
            <w:tcW w:w="2205"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39" w:type="dxa"/>
            <w:vMerge w:val="continue"/>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861"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医学类</w:t>
            </w:r>
          </w:p>
        </w:tc>
        <w:tc>
          <w:tcPr>
            <w:tcW w:w="900"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24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30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12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2205"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39" w:type="dxa"/>
            <w:vMerge w:val="continue"/>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861"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康复类</w:t>
            </w:r>
          </w:p>
        </w:tc>
        <w:tc>
          <w:tcPr>
            <w:tcW w:w="900"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24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30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12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2205"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39" w:type="dxa"/>
            <w:vMerge w:val="continue"/>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861"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护理类</w:t>
            </w:r>
          </w:p>
        </w:tc>
        <w:tc>
          <w:tcPr>
            <w:tcW w:w="900"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24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30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12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2205"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39" w:type="dxa"/>
            <w:vMerge w:val="continue"/>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861"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长期照护类</w:t>
            </w:r>
          </w:p>
        </w:tc>
        <w:tc>
          <w:tcPr>
            <w:tcW w:w="900"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24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30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12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2205"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39" w:type="dxa"/>
            <w:vMerge w:val="continue"/>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861"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养老服务类</w:t>
            </w:r>
          </w:p>
        </w:tc>
        <w:tc>
          <w:tcPr>
            <w:tcW w:w="900"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24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30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12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2205"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9" w:type="dxa"/>
            <w:vMerge w:val="continue"/>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861"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其他医技人员</w:t>
            </w:r>
          </w:p>
        </w:tc>
        <w:tc>
          <w:tcPr>
            <w:tcW w:w="900"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24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30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12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2205"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39" w:type="dxa"/>
            <w:vMerge w:val="continue"/>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861"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合计</w:t>
            </w:r>
          </w:p>
        </w:tc>
        <w:tc>
          <w:tcPr>
            <w:tcW w:w="900"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24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30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12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2205"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139" w:type="dxa"/>
            <w:vMerge w:val="restart"/>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评估专家</w:t>
            </w:r>
          </w:p>
        </w:tc>
        <w:tc>
          <w:tcPr>
            <w:tcW w:w="1861"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人员类别</w:t>
            </w:r>
          </w:p>
        </w:tc>
        <w:tc>
          <w:tcPr>
            <w:tcW w:w="900"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总人数</w:t>
            </w:r>
          </w:p>
        </w:tc>
        <w:tc>
          <w:tcPr>
            <w:tcW w:w="124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高级职称</w:t>
            </w:r>
          </w:p>
        </w:tc>
        <w:tc>
          <w:tcPr>
            <w:tcW w:w="130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中级职称</w:t>
            </w:r>
          </w:p>
        </w:tc>
        <w:tc>
          <w:tcPr>
            <w:tcW w:w="112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初级职称</w:t>
            </w:r>
          </w:p>
        </w:tc>
        <w:tc>
          <w:tcPr>
            <w:tcW w:w="2205"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39" w:type="dxa"/>
            <w:vMerge w:val="continue"/>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861"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医学类</w:t>
            </w:r>
          </w:p>
        </w:tc>
        <w:tc>
          <w:tcPr>
            <w:tcW w:w="900"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24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30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12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2205"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39" w:type="dxa"/>
            <w:vMerge w:val="continue"/>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861"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康复类</w:t>
            </w:r>
          </w:p>
        </w:tc>
        <w:tc>
          <w:tcPr>
            <w:tcW w:w="900"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24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30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12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2205"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39" w:type="dxa"/>
            <w:vMerge w:val="continue"/>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861"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护理类</w:t>
            </w:r>
          </w:p>
        </w:tc>
        <w:tc>
          <w:tcPr>
            <w:tcW w:w="900"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24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30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12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2205"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39" w:type="dxa"/>
            <w:vMerge w:val="continue"/>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861"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长期照护类</w:t>
            </w:r>
          </w:p>
        </w:tc>
        <w:tc>
          <w:tcPr>
            <w:tcW w:w="900"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24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30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12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2205"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39" w:type="dxa"/>
            <w:vMerge w:val="continue"/>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861"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养老服务类</w:t>
            </w:r>
          </w:p>
        </w:tc>
        <w:tc>
          <w:tcPr>
            <w:tcW w:w="900"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24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30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12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2205"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139" w:type="dxa"/>
            <w:vMerge w:val="continue"/>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861"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其他医技人员</w:t>
            </w:r>
          </w:p>
        </w:tc>
        <w:tc>
          <w:tcPr>
            <w:tcW w:w="900"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24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30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12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2205"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39" w:type="dxa"/>
            <w:vMerge w:val="continue"/>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861"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合计</w:t>
            </w:r>
          </w:p>
        </w:tc>
        <w:tc>
          <w:tcPr>
            <w:tcW w:w="900"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24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30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1125" w:type="dxa"/>
            <w:gridSpan w:val="2"/>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c>
          <w:tcPr>
            <w:tcW w:w="2205"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9780" w:type="dxa"/>
            <w:gridSpan w:val="11"/>
            <w:vAlign w:val="top"/>
          </w:tcPr>
          <w:p>
            <w:pPr>
              <w:keepNext w:val="0"/>
              <w:keepLines w:val="0"/>
              <w:pageBreakBefore w:val="0"/>
              <w:widowControl w:val="0"/>
              <w:kinsoku w:val="0"/>
              <w:wordWrap/>
              <w:overflowPunct/>
              <w:topLinePunct w:val="0"/>
              <w:autoSpaceDE/>
              <w:autoSpaceDN/>
              <w:bidi w:val="0"/>
              <w:adjustRightInd w:val="0"/>
              <w:snapToGrid w:val="0"/>
              <w:spacing w:line="400" w:lineRule="exact"/>
              <w:ind w:firstLine="441" w:firstLineChars="200"/>
              <w:jc w:val="both"/>
              <w:textAlignment w:val="baseline"/>
              <w:rPr>
                <w:rFonts w:hint="eastAsia" w:ascii="黑体" w:hAnsi="黑体" w:eastAsia="黑体" w:cs="黑体"/>
                <w:b/>
                <w:bCs/>
                <w:color w:val="auto"/>
                <w:kern w:val="2"/>
                <w:sz w:val="22"/>
                <w:szCs w:val="22"/>
                <w:vertAlign w:val="baseline"/>
                <w:lang w:val="en-US" w:eastAsia="zh-CN" w:bidi="ar-SA"/>
              </w:rPr>
            </w:pPr>
          </w:p>
          <w:p>
            <w:pPr>
              <w:keepNext w:val="0"/>
              <w:keepLines w:val="0"/>
              <w:pageBreakBefore w:val="0"/>
              <w:widowControl w:val="0"/>
              <w:kinsoku w:val="0"/>
              <w:wordWrap/>
              <w:overflowPunct/>
              <w:topLinePunct w:val="0"/>
              <w:autoSpaceDE/>
              <w:autoSpaceDN/>
              <w:bidi w:val="0"/>
              <w:adjustRightInd w:val="0"/>
              <w:snapToGrid w:val="0"/>
              <w:spacing w:line="400" w:lineRule="exact"/>
              <w:ind w:firstLine="440" w:firstLineChars="200"/>
              <w:jc w:val="both"/>
              <w:textAlignment w:val="baseline"/>
              <w:rPr>
                <w:rFonts w:hint="default" w:cs="仿宋"/>
                <w:b w:val="0"/>
                <w:bCs w:val="0"/>
                <w:color w:val="auto"/>
                <w:kern w:val="2"/>
                <w:sz w:val="21"/>
                <w:szCs w:val="21"/>
                <w:vertAlign w:val="baseline"/>
                <w:lang w:val="en-US" w:eastAsia="zh-CN" w:bidi="ar-SA"/>
              </w:rPr>
            </w:pPr>
            <w:r>
              <w:rPr>
                <w:rFonts w:hint="eastAsia" w:ascii="黑体" w:hAnsi="黑体" w:eastAsia="黑体" w:cs="黑体"/>
                <w:b w:val="0"/>
                <w:bCs w:val="0"/>
                <w:color w:val="auto"/>
                <w:kern w:val="2"/>
                <w:sz w:val="22"/>
                <w:szCs w:val="22"/>
                <w:vertAlign w:val="baseline"/>
                <w:lang w:val="en-US" w:eastAsia="zh-CN" w:bidi="ar-SA"/>
              </w:rPr>
              <w:t>自愿承担长期护理保险失能等级评估，申请成为海南省长期护理保险定点评估机构。本单位承诺：本次提供的所有申请材料均真实有效，如提供材料虚假、不真实的，承担由此引起的一切责任和后果。</w:t>
            </w:r>
          </w:p>
          <w:p>
            <w:pPr>
              <w:keepNext w:val="0"/>
              <w:keepLines w:val="0"/>
              <w:pageBreakBefore w:val="0"/>
              <w:widowControl w:val="0"/>
              <w:kinsoku w:val="0"/>
              <w:wordWrap/>
              <w:overflowPunct/>
              <w:topLinePunct w:val="0"/>
              <w:autoSpaceDE/>
              <w:autoSpaceDN/>
              <w:bidi w:val="0"/>
              <w:adjustRightInd w:val="0"/>
              <w:snapToGrid w:val="0"/>
              <w:spacing w:line="400" w:lineRule="exact"/>
              <w:ind w:left="0" w:leftChars="0" w:firstLine="421" w:firstLineChars="200"/>
              <w:jc w:val="both"/>
              <w:textAlignment w:val="baseline"/>
              <w:rPr>
                <w:rFonts w:hint="default" w:cs="仿宋"/>
                <w:b/>
                <w:bCs/>
                <w:color w:val="auto"/>
                <w:kern w:val="2"/>
                <w:sz w:val="21"/>
                <w:szCs w:val="21"/>
                <w:vertAlign w:val="baseline"/>
                <w:lang w:val="en-US" w:eastAsia="zh-CN" w:bidi="ar-SA"/>
              </w:rPr>
            </w:pPr>
          </w:p>
          <w:p>
            <w:pPr>
              <w:keepNext w:val="0"/>
              <w:keepLines w:val="0"/>
              <w:pageBreakBefore w:val="0"/>
              <w:widowControl w:val="0"/>
              <w:kinsoku w:val="0"/>
              <w:wordWrap/>
              <w:overflowPunct/>
              <w:topLinePunct w:val="0"/>
              <w:autoSpaceDE/>
              <w:autoSpaceDN/>
              <w:bidi w:val="0"/>
              <w:adjustRightInd w:val="0"/>
              <w:snapToGrid w:val="0"/>
              <w:spacing w:line="400" w:lineRule="exact"/>
              <w:ind w:left="0" w:leftChars="0" w:firstLine="880" w:firstLineChars="400"/>
              <w:jc w:val="both"/>
              <w:textAlignment w:val="baseline"/>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kern w:val="2"/>
                <w:sz w:val="22"/>
                <w:szCs w:val="22"/>
                <w:vertAlign w:val="baseline"/>
                <w:lang w:val="en-US" w:eastAsia="zh-CN" w:bidi="ar-SA"/>
              </w:rPr>
              <w:t>法人代表签字（盖章）：                                      单位（盖章）：</w:t>
            </w:r>
          </w:p>
          <w:p>
            <w:pPr>
              <w:keepNext w:val="0"/>
              <w:keepLines w:val="0"/>
              <w:pageBreakBefore w:val="0"/>
              <w:widowControl w:val="0"/>
              <w:kinsoku w:val="0"/>
              <w:wordWrap/>
              <w:overflowPunct/>
              <w:topLinePunct w:val="0"/>
              <w:autoSpaceDE/>
              <w:autoSpaceDN/>
              <w:bidi w:val="0"/>
              <w:adjustRightInd w:val="0"/>
              <w:snapToGrid w:val="0"/>
              <w:spacing w:line="400" w:lineRule="exact"/>
              <w:ind w:left="0" w:leftChars="0" w:firstLine="440" w:firstLineChars="200"/>
              <w:jc w:val="both"/>
              <w:textAlignment w:val="baseline"/>
              <w:rPr>
                <w:rFonts w:hint="default" w:cs="仿宋"/>
                <w:b/>
                <w:bCs/>
                <w:color w:val="auto"/>
                <w:kern w:val="2"/>
                <w:sz w:val="21"/>
                <w:szCs w:val="21"/>
                <w:vertAlign w:val="baseline"/>
                <w:lang w:val="en-US" w:eastAsia="zh-CN" w:bidi="ar-SA"/>
              </w:rPr>
            </w:pPr>
            <w:r>
              <w:rPr>
                <w:rFonts w:hint="eastAsia" w:ascii="仿宋_GB2312" w:hAnsi="仿宋_GB2312" w:eastAsia="仿宋_GB2312" w:cs="仿宋_GB2312"/>
                <w:b w:val="0"/>
                <w:bCs w:val="0"/>
                <w:color w:val="auto"/>
                <w:kern w:val="2"/>
                <w:sz w:val="22"/>
                <w:szCs w:val="22"/>
                <w:vertAlign w:val="baseline"/>
                <w:lang w:val="en-US" w:eastAsia="zh-CN" w:bidi="ar-SA"/>
              </w:rPr>
              <w:t xml:space="preserve">                                                               年   月   日</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p>
    <w:p>
      <w:pPr>
        <w:pStyle w:val="8"/>
        <w:rPr>
          <w:rFonts w:hint="eastAsia"/>
        </w:rPr>
      </w:pPr>
    </w:p>
    <w:p>
      <w:pPr>
        <w:autoSpaceDE/>
        <w:autoSpaceDN/>
        <w:spacing w:line="240" w:lineRule="auto"/>
        <w:ind w:firstLine="0" w:firstLineChars="0"/>
        <w:jc w:val="left"/>
        <w:outlineLvl w:val="9"/>
        <w:rPr>
          <w:rFonts w:hint="eastAsia" w:ascii="黑体" w:hAnsi="黑体" w:eastAsia="黑体" w:cs="黑体"/>
          <w:color w:val="auto"/>
          <w:kern w:val="2"/>
          <w:sz w:val="32"/>
          <w:szCs w:val="32"/>
          <w:lang w:val="en-US" w:eastAsia="zh-CN" w:bidi="ar-SA"/>
        </w:rPr>
        <w:sectPr>
          <w:footerReference r:id="rId4" w:type="default"/>
          <w:pgSz w:w="11906" w:h="16838"/>
          <w:pgMar w:top="1440" w:right="1800" w:bottom="1440" w:left="1800" w:header="851" w:footer="992" w:gutter="0"/>
          <w:pgNumType w:fmt="decimal" w:start="14"/>
          <w:cols w:space="425" w:num="1"/>
          <w:docGrid w:type="lines" w:linePitch="312" w:charSpace="0"/>
        </w:sectPr>
      </w:pPr>
      <w:bookmarkStart w:id="0" w:name="_Toc1128429630"/>
      <w:r>
        <w:rPr>
          <w:rFonts w:hint="eastAsia" w:ascii="黑体" w:hAnsi="黑体" w:eastAsia="黑体" w:cs="黑体"/>
          <w:color w:val="auto"/>
          <w:kern w:val="2"/>
          <w:sz w:val="32"/>
          <w:szCs w:val="32"/>
          <w:lang w:val="en-US" w:eastAsia="zh-CN" w:bidi="ar-SA"/>
        </w:rPr>
        <w:br w:type="page"/>
      </w:r>
    </w:p>
    <w:p>
      <w:pPr>
        <w:autoSpaceDE/>
        <w:autoSpaceDN/>
        <w:spacing w:line="600" w:lineRule="exact"/>
        <w:ind w:firstLine="0" w:firstLineChars="0"/>
        <w:jc w:val="both"/>
        <w:outlineLvl w:val="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附件2</w:t>
      </w:r>
    </w:p>
    <w:p>
      <w:pPr>
        <w:autoSpaceDE/>
        <w:autoSpaceDN/>
        <w:spacing w:line="600" w:lineRule="exact"/>
        <w:ind w:firstLine="0" w:firstLineChars="0"/>
        <w:jc w:val="center"/>
        <w:outlineLvl w:val="0"/>
        <w:rPr>
          <w:rFonts w:hint="eastAsia" w:ascii="方正小标宋_GBK" w:hAnsi="方正小标宋_GBK" w:eastAsia="方正小标宋_GBK" w:cs="方正小标宋_GBK"/>
          <w:color w:val="auto"/>
          <w:kern w:val="2"/>
          <w:sz w:val="44"/>
          <w:szCs w:val="44"/>
          <w:lang w:val="en-US" w:eastAsia="zh-CN" w:bidi="ar-SA"/>
        </w:rPr>
      </w:pPr>
      <w:bookmarkStart w:id="1" w:name="_Toc1088704753"/>
      <w:r>
        <w:rPr>
          <w:rFonts w:hint="eastAsia" w:ascii="方正小标宋_GBK" w:hAnsi="方正小标宋_GBK" w:eastAsia="方正小标宋_GBK" w:cs="方正小标宋_GBK"/>
          <w:color w:val="auto"/>
          <w:kern w:val="2"/>
          <w:sz w:val="44"/>
          <w:szCs w:val="44"/>
          <w:lang w:val="en-US" w:eastAsia="zh-CN" w:bidi="ar-SA"/>
        </w:rPr>
        <w:t>海南省长期护理保险定点失能等级评估机构综合审核表</w:t>
      </w:r>
      <w:bookmarkEnd w:id="1"/>
    </w:p>
    <w:p>
      <w:pPr>
        <w:autoSpaceDE/>
        <w:autoSpaceDN/>
        <w:spacing w:line="600" w:lineRule="exact"/>
        <w:ind w:firstLine="0" w:firstLineChars="0"/>
        <w:jc w:val="left"/>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机构名称：             </w:t>
      </w:r>
      <w:r>
        <w:rPr>
          <w:rFonts w:hint="eastAsia" w:cs="仿宋"/>
          <w:color w:val="auto"/>
          <w:kern w:val="2"/>
          <w:sz w:val="24"/>
          <w:szCs w:val="24"/>
          <w:lang w:val="en-US" w:eastAsia="zh-CN" w:bidi="ar-SA"/>
        </w:rPr>
        <w:t xml:space="preserve">      </w:t>
      </w:r>
      <w:r>
        <w:rPr>
          <w:rFonts w:hint="eastAsia" w:ascii="仿宋" w:hAnsi="仿宋" w:eastAsia="仿宋" w:cs="仿宋"/>
          <w:color w:val="auto"/>
          <w:kern w:val="2"/>
          <w:sz w:val="24"/>
          <w:szCs w:val="24"/>
          <w:lang w:val="en-US" w:eastAsia="zh-CN" w:bidi="ar-SA"/>
        </w:rPr>
        <w:t xml:space="preserve">                       地址：                                     评估时间：</w:t>
      </w:r>
    </w:p>
    <w:tbl>
      <w:tblPr>
        <w:tblStyle w:val="11"/>
        <w:tblpPr w:leftFromText="180" w:rightFromText="180" w:vertAnchor="text" w:tblpXSpec="center" w:tblpY="1"/>
        <w:tblOverlap w:val="never"/>
        <w:tblW w:w="15826" w:type="dxa"/>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1755"/>
        <w:gridCol w:w="1500"/>
        <w:gridCol w:w="9561"/>
        <w:gridCol w:w="1190"/>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黑体" w:hAnsi="黑体" w:eastAsia="黑体" w:cs="黑体"/>
                <w:color w:val="auto"/>
                <w:kern w:val="2"/>
                <w:sz w:val="24"/>
                <w:szCs w:val="24"/>
                <w:vertAlign w:val="baseline"/>
                <w:lang w:val="en-US" w:eastAsia="zh-CN" w:bidi="ar-SA"/>
              </w:rPr>
            </w:pPr>
            <w:r>
              <w:rPr>
                <w:rFonts w:hint="eastAsia" w:ascii="黑体" w:hAnsi="黑体" w:eastAsia="黑体" w:cs="黑体"/>
                <w:color w:val="auto"/>
                <w:kern w:val="2"/>
                <w:sz w:val="24"/>
                <w:szCs w:val="24"/>
                <w:vertAlign w:val="baseline"/>
                <w:lang w:val="en-US" w:eastAsia="zh-CN" w:bidi="ar-SA"/>
              </w:rPr>
              <w:t>序号</w:t>
            </w:r>
          </w:p>
        </w:tc>
        <w:tc>
          <w:tcPr>
            <w:tcW w:w="1755"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default" w:ascii="黑体" w:hAnsi="黑体" w:eastAsia="黑体" w:cs="黑体"/>
                <w:color w:val="auto"/>
                <w:kern w:val="2"/>
                <w:sz w:val="24"/>
                <w:szCs w:val="24"/>
                <w:vertAlign w:val="baseline"/>
                <w:lang w:val="en-US" w:eastAsia="zh-CN" w:bidi="ar-SA"/>
              </w:rPr>
            </w:pPr>
            <w:r>
              <w:rPr>
                <w:rFonts w:hint="eastAsia" w:ascii="黑体" w:hAnsi="黑体" w:eastAsia="黑体" w:cs="黑体"/>
                <w:color w:val="auto"/>
                <w:kern w:val="2"/>
                <w:sz w:val="24"/>
                <w:szCs w:val="24"/>
                <w:vertAlign w:val="baseline"/>
                <w:lang w:val="en-US" w:eastAsia="zh-CN" w:bidi="ar-SA"/>
              </w:rPr>
              <w:t>审核内容</w:t>
            </w:r>
          </w:p>
        </w:tc>
        <w:tc>
          <w:tcPr>
            <w:tcW w:w="1500"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default" w:ascii="黑体" w:hAnsi="黑体" w:eastAsia="黑体" w:cs="黑体"/>
                <w:color w:val="auto"/>
                <w:kern w:val="2"/>
                <w:sz w:val="24"/>
                <w:szCs w:val="24"/>
                <w:vertAlign w:val="baseline"/>
                <w:lang w:val="en-US" w:eastAsia="zh-CN" w:bidi="ar-SA"/>
              </w:rPr>
            </w:pPr>
            <w:r>
              <w:rPr>
                <w:rFonts w:hint="eastAsia" w:ascii="黑体" w:hAnsi="黑体" w:eastAsia="黑体" w:cs="黑体"/>
                <w:color w:val="auto"/>
                <w:kern w:val="2"/>
                <w:sz w:val="24"/>
                <w:szCs w:val="24"/>
                <w:vertAlign w:val="baseline"/>
                <w:lang w:val="en-US" w:eastAsia="zh-CN" w:bidi="ar-SA"/>
              </w:rPr>
              <w:t>指标类型</w:t>
            </w:r>
          </w:p>
        </w:tc>
        <w:tc>
          <w:tcPr>
            <w:tcW w:w="9561"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default" w:ascii="黑体" w:hAnsi="黑体" w:eastAsia="黑体" w:cs="黑体"/>
                <w:color w:val="auto"/>
                <w:kern w:val="2"/>
                <w:sz w:val="24"/>
                <w:szCs w:val="24"/>
                <w:vertAlign w:val="baseline"/>
                <w:lang w:val="en-US" w:eastAsia="zh-CN" w:bidi="ar-SA"/>
              </w:rPr>
            </w:pPr>
            <w:r>
              <w:rPr>
                <w:rFonts w:hint="eastAsia" w:ascii="黑体" w:hAnsi="黑体" w:eastAsia="黑体" w:cs="黑体"/>
                <w:color w:val="auto"/>
                <w:kern w:val="2"/>
                <w:sz w:val="24"/>
                <w:szCs w:val="24"/>
                <w:vertAlign w:val="baseline"/>
                <w:lang w:val="en-US" w:eastAsia="zh-CN" w:bidi="ar-SA"/>
              </w:rPr>
              <w:t>审核标准</w:t>
            </w:r>
          </w:p>
        </w:tc>
        <w:tc>
          <w:tcPr>
            <w:tcW w:w="1190"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default" w:ascii="黑体" w:hAnsi="黑体" w:eastAsia="黑体" w:cs="黑体"/>
                <w:color w:val="auto"/>
                <w:kern w:val="2"/>
                <w:sz w:val="24"/>
                <w:szCs w:val="24"/>
                <w:vertAlign w:val="baseline"/>
                <w:lang w:val="en-US" w:eastAsia="zh-CN" w:bidi="ar-SA"/>
              </w:rPr>
            </w:pPr>
            <w:r>
              <w:rPr>
                <w:rFonts w:hint="eastAsia" w:ascii="黑体" w:hAnsi="黑体" w:eastAsia="黑体" w:cs="黑体"/>
                <w:color w:val="auto"/>
                <w:kern w:val="2"/>
                <w:sz w:val="24"/>
                <w:szCs w:val="24"/>
                <w:vertAlign w:val="baseline"/>
                <w:lang w:val="en-US" w:eastAsia="zh-CN" w:bidi="ar-SA"/>
              </w:rPr>
              <w:t>审核情况</w:t>
            </w:r>
          </w:p>
        </w:tc>
        <w:tc>
          <w:tcPr>
            <w:tcW w:w="905"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default" w:ascii="黑体" w:hAnsi="黑体" w:eastAsia="黑体" w:cs="黑体"/>
                <w:color w:val="auto"/>
                <w:kern w:val="2"/>
                <w:sz w:val="24"/>
                <w:szCs w:val="24"/>
                <w:vertAlign w:val="baseline"/>
                <w:lang w:val="en-US" w:eastAsia="zh-CN" w:bidi="ar-SA"/>
              </w:rPr>
            </w:pPr>
            <w:r>
              <w:rPr>
                <w:rFonts w:hint="eastAsia" w:ascii="黑体" w:hAnsi="黑体" w:eastAsia="黑体" w:cs="黑体"/>
                <w:color w:val="auto"/>
                <w:kern w:val="2"/>
                <w:sz w:val="24"/>
                <w:szCs w:val="24"/>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915" w:type="dxa"/>
            <w:vMerge w:val="restart"/>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w:t>
            </w:r>
          </w:p>
        </w:tc>
        <w:tc>
          <w:tcPr>
            <w:tcW w:w="1755" w:type="dxa"/>
            <w:vMerge w:val="restart"/>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服务资质</w:t>
            </w:r>
          </w:p>
        </w:tc>
        <w:tc>
          <w:tcPr>
            <w:tcW w:w="1500" w:type="dxa"/>
            <w:vMerge w:val="restart"/>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一级指标</w:t>
            </w:r>
          </w:p>
        </w:tc>
        <w:tc>
          <w:tcPr>
            <w:tcW w:w="9561" w:type="dxa"/>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20" w:lineRule="atLeast"/>
              <w:ind w:left="0" w:right="0" w:firstLine="0"/>
              <w:jc w:val="left"/>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《营业执照》《执业许可证》《统一社会信用代码证书》等其中一个证明材料的正、副本原件及加盖公章的复印件；医疗机构应具备卫健部门颁发的《医疗机构执业许可证》。</w:t>
            </w:r>
          </w:p>
        </w:tc>
        <w:tc>
          <w:tcPr>
            <w:tcW w:w="1190"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符  合</w:t>
            </w:r>
            <w:r>
              <w:rPr>
                <w:rFonts w:hint="eastAsia" w:ascii="仿宋_GB2312" w:hAnsi="仿宋_GB2312" w:eastAsia="仿宋_GB2312" w:cs="仿宋_GB2312"/>
                <w:color w:val="auto"/>
                <w:kern w:val="2"/>
                <w:sz w:val="24"/>
                <w:szCs w:val="24"/>
                <w:vertAlign w:val="baseline"/>
                <w:lang w:val="en-US" w:eastAsia="zh-CN" w:bidi="ar-SA"/>
              </w:rPr>
              <w:sym w:font="Wingdings 2" w:char="00A3"/>
            </w:r>
          </w:p>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不符合</w:t>
            </w:r>
            <w:r>
              <w:rPr>
                <w:rFonts w:hint="eastAsia" w:ascii="仿宋_GB2312" w:hAnsi="仿宋_GB2312" w:eastAsia="仿宋_GB2312" w:cs="仿宋_GB2312"/>
                <w:color w:val="auto"/>
                <w:kern w:val="2"/>
                <w:sz w:val="24"/>
                <w:szCs w:val="24"/>
                <w:vertAlign w:val="baseline"/>
                <w:lang w:val="en-US" w:eastAsia="zh-CN" w:bidi="ar-SA"/>
              </w:rPr>
              <w:sym w:font="Wingdings 2" w:char="00A3"/>
            </w:r>
          </w:p>
        </w:tc>
        <w:tc>
          <w:tcPr>
            <w:tcW w:w="905"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jc w:val="left"/>
              <w:textAlignment w:val="baseline"/>
              <w:rPr>
                <w:rFonts w:hint="eastAsia" w:ascii="仿宋" w:hAnsi="仿宋" w:eastAsia="仿宋" w:cs="仿宋"/>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15" w:type="dxa"/>
            <w:vMerge w:val="continue"/>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p>
        </w:tc>
        <w:tc>
          <w:tcPr>
            <w:tcW w:w="1755" w:type="dxa"/>
            <w:vMerge w:val="continue"/>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p>
        </w:tc>
        <w:tc>
          <w:tcPr>
            <w:tcW w:w="1500" w:type="dxa"/>
            <w:vMerge w:val="continue"/>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4"/>
                <w:szCs w:val="24"/>
                <w:vertAlign w:val="baseline"/>
                <w:lang w:val="en-US" w:eastAsia="zh-CN" w:bidi="ar-SA"/>
              </w:rPr>
            </w:pPr>
          </w:p>
        </w:tc>
        <w:tc>
          <w:tcPr>
            <w:tcW w:w="9561"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snapToGrid w:val="0"/>
                <w:color w:val="auto"/>
                <w:kern w:val="2"/>
                <w:sz w:val="24"/>
                <w:szCs w:val="24"/>
                <w:vertAlign w:val="baseline"/>
                <w:lang w:val="en-US" w:eastAsia="zh-CN" w:bidi="ar-SA"/>
              </w:rPr>
              <w:t>在海南省内依法登记并正式运营不低于3个月，具有独立法人资格，能够开展失能等级评估工作。</w:t>
            </w:r>
          </w:p>
        </w:tc>
        <w:tc>
          <w:tcPr>
            <w:tcW w:w="1190"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符  合</w:t>
            </w:r>
            <w:r>
              <w:rPr>
                <w:rFonts w:hint="eastAsia" w:ascii="仿宋_GB2312" w:hAnsi="仿宋_GB2312" w:eastAsia="仿宋_GB2312" w:cs="仿宋_GB2312"/>
                <w:color w:val="auto"/>
                <w:kern w:val="2"/>
                <w:sz w:val="24"/>
                <w:szCs w:val="24"/>
                <w:vertAlign w:val="baseline"/>
                <w:lang w:val="en-US" w:eastAsia="zh-CN" w:bidi="ar-SA"/>
              </w:rPr>
              <w:sym w:font="Wingdings 2" w:char="00A3"/>
            </w:r>
          </w:p>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不符合</w:t>
            </w:r>
            <w:r>
              <w:rPr>
                <w:rFonts w:hint="eastAsia" w:ascii="仿宋_GB2312" w:hAnsi="仿宋_GB2312" w:eastAsia="仿宋_GB2312" w:cs="仿宋_GB2312"/>
                <w:color w:val="auto"/>
                <w:kern w:val="2"/>
                <w:sz w:val="24"/>
                <w:szCs w:val="24"/>
                <w:vertAlign w:val="baseline"/>
                <w:lang w:val="en-US" w:eastAsia="zh-CN" w:bidi="ar-SA"/>
              </w:rPr>
              <w:sym w:font="Wingdings 2" w:char="00A3"/>
            </w:r>
          </w:p>
        </w:tc>
        <w:tc>
          <w:tcPr>
            <w:tcW w:w="905"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jc w:val="left"/>
              <w:textAlignment w:val="baseline"/>
              <w:rPr>
                <w:rFonts w:hint="eastAsia" w:ascii="仿宋" w:hAnsi="仿宋" w:eastAsia="仿宋" w:cs="仿宋"/>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915" w:type="dxa"/>
            <w:vMerge w:val="restart"/>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w:t>
            </w:r>
          </w:p>
        </w:tc>
        <w:tc>
          <w:tcPr>
            <w:tcW w:w="1755" w:type="dxa"/>
            <w:vMerge w:val="restart"/>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基础配置</w:t>
            </w:r>
          </w:p>
        </w:tc>
        <w:tc>
          <w:tcPr>
            <w:tcW w:w="1500" w:type="dxa"/>
            <w:vMerge w:val="restart"/>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一级指标</w:t>
            </w:r>
          </w:p>
        </w:tc>
        <w:tc>
          <w:tcPr>
            <w:tcW w:w="9561"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具有固定的办公场所，配备符合评估服务协议要求的软、硬件设备和相应管理维护人员。</w:t>
            </w:r>
          </w:p>
        </w:tc>
        <w:tc>
          <w:tcPr>
            <w:tcW w:w="1190"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符  合</w:t>
            </w:r>
            <w:r>
              <w:rPr>
                <w:rFonts w:hint="eastAsia" w:ascii="仿宋_GB2312" w:hAnsi="仿宋_GB2312" w:eastAsia="仿宋_GB2312" w:cs="仿宋_GB2312"/>
                <w:color w:val="auto"/>
                <w:kern w:val="2"/>
                <w:sz w:val="24"/>
                <w:szCs w:val="24"/>
                <w:vertAlign w:val="baseline"/>
                <w:lang w:val="en-US" w:eastAsia="zh-CN" w:bidi="ar-SA"/>
              </w:rPr>
              <w:sym w:font="Wingdings 2" w:char="00A3"/>
            </w:r>
          </w:p>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不符合</w:t>
            </w:r>
            <w:r>
              <w:rPr>
                <w:rFonts w:hint="eastAsia" w:ascii="仿宋_GB2312" w:hAnsi="仿宋_GB2312" w:eastAsia="仿宋_GB2312" w:cs="仿宋_GB2312"/>
                <w:color w:val="auto"/>
                <w:kern w:val="2"/>
                <w:sz w:val="24"/>
                <w:szCs w:val="24"/>
                <w:vertAlign w:val="baseline"/>
                <w:lang w:val="en-US" w:eastAsia="zh-CN" w:bidi="ar-SA"/>
              </w:rPr>
              <w:sym w:font="Wingdings 2" w:char="00A3"/>
            </w:r>
          </w:p>
        </w:tc>
        <w:tc>
          <w:tcPr>
            <w:tcW w:w="905"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jc w:val="left"/>
              <w:textAlignment w:val="baseline"/>
              <w:rPr>
                <w:rFonts w:hint="eastAsia" w:ascii="仿宋" w:hAnsi="仿宋" w:eastAsia="仿宋" w:cs="仿宋"/>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5" w:type="dxa"/>
            <w:vMerge w:val="continue"/>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sz w:val="24"/>
                <w:szCs w:val="24"/>
              </w:rPr>
            </w:pPr>
          </w:p>
        </w:tc>
        <w:tc>
          <w:tcPr>
            <w:tcW w:w="1755" w:type="dxa"/>
            <w:vMerge w:val="continue"/>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sz w:val="24"/>
                <w:szCs w:val="24"/>
              </w:rPr>
            </w:pPr>
          </w:p>
        </w:tc>
        <w:tc>
          <w:tcPr>
            <w:tcW w:w="1500" w:type="dxa"/>
            <w:vMerge w:val="continue"/>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sz w:val="24"/>
                <w:szCs w:val="24"/>
              </w:rPr>
            </w:pPr>
          </w:p>
        </w:tc>
        <w:tc>
          <w:tcPr>
            <w:tcW w:w="9561"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设立</w:t>
            </w: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政策</w:t>
            </w:r>
            <w:r>
              <w:rPr>
                <w:rFonts w:hint="eastAsia" w:ascii="仿宋_GB2312" w:hAnsi="仿宋_GB2312" w:eastAsia="仿宋_GB2312" w:cs="仿宋_GB2312"/>
                <w:color w:val="auto"/>
                <w:kern w:val="2"/>
                <w:sz w:val="24"/>
                <w:szCs w:val="24"/>
                <w:vertAlign w:val="baseline"/>
                <w:lang w:val="en-US" w:eastAsia="zh-CN" w:bidi="ar-SA"/>
              </w:rPr>
              <w:t>咨询服务台和意见箱，配备熟悉长期护理保险政策规定的专职管理人员。</w:t>
            </w:r>
          </w:p>
        </w:tc>
        <w:tc>
          <w:tcPr>
            <w:tcW w:w="1190"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符  合</w:t>
            </w:r>
            <w:r>
              <w:rPr>
                <w:rFonts w:hint="eastAsia" w:ascii="仿宋_GB2312" w:hAnsi="仿宋_GB2312" w:eastAsia="仿宋_GB2312" w:cs="仿宋_GB2312"/>
                <w:color w:val="auto"/>
                <w:kern w:val="2"/>
                <w:sz w:val="24"/>
                <w:szCs w:val="24"/>
                <w:vertAlign w:val="baseline"/>
                <w:lang w:val="en-US" w:eastAsia="zh-CN" w:bidi="ar-SA"/>
              </w:rPr>
              <w:sym w:font="Wingdings 2" w:char="00A3"/>
            </w:r>
          </w:p>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不符合</w:t>
            </w:r>
            <w:r>
              <w:rPr>
                <w:rFonts w:hint="eastAsia" w:ascii="仿宋_GB2312" w:hAnsi="仿宋_GB2312" w:eastAsia="仿宋_GB2312" w:cs="仿宋_GB2312"/>
                <w:color w:val="auto"/>
                <w:kern w:val="2"/>
                <w:sz w:val="24"/>
                <w:szCs w:val="24"/>
                <w:vertAlign w:val="baseline"/>
                <w:lang w:val="en-US" w:eastAsia="zh-CN" w:bidi="ar-SA"/>
              </w:rPr>
              <w:sym w:font="Wingdings 2" w:char="00A3"/>
            </w:r>
          </w:p>
        </w:tc>
        <w:tc>
          <w:tcPr>
            <w:tcW w:w="905"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 w:hAnsi="仿宋" w:eastAsia="仿宋" w:cs="仿宋"/>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915" w:type="dxa"/>
            <w:vMerge w:val="continue"/>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p>
        </w:tc>
        <w:tc>
          <w:tcPr>
            <w:tcW w:w="1755" w:type="dxa"/>
            <w:vMerge w:val="continue"/>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p>
        </w:tc>
        <w:tc>
          <w:tcPr>
            <w:tcW w:w="1500" w:type="dxa"/>
            <w:vMerge w:val="continue"/>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4"/>
                <w:szCs w:val="24"/>
                <w:vertAlign w:val="baseline"/>
                <w:lang w:val="en-US" w:eastAsia="zh-CN" w:bidi="ar-SA"/>
              </w:rPr>
            </w:pPr>
          </w:p>
        </w:tc>
        <w:tc>
          <w:tcPr>
            <w:tcW w:w="9561" w:type="dxa"/>
            <w:vAlign w:val="center"/>
          </w:tcPr>
          <w:p>
            <w:pPr>
              <w:keepNext w:val="0"/>
              <w:keepLines w:val="0"/>
              <w:pageBreakBefore w:val="0"/>
              <w:widowControl w:val="0"/>
              <w:kinsoku w:val="0"/>
              <w:wordWrap/>
              <w:overflowPunct/>
              <w:topLinePunct w:val="0"/>
              <w:autoSpaceDE/>
              <w:autoSpaceDN/>
              <w:bidi w:val="0"/>
              <w:adjustRightInd w:val="0"/>
              <w:snapToGrid w:val="0"/>
              <w:spacing w:line="320" w:lineRule="exact"/>
              <w:ind w:left="0" w:leftChars="0" w:firstLine="0" w:firstLineChars="0"/>
              <w:jc w:val="left"/>
              <w:textAlignment w:val="baseline"/>
              <w:rPr>
                <w:rFonts w:hint="eastAsia" w:ascii="仿宋_GB2312" w:hAnsi="仿宋_GB2312" w:eastAsia="仿宋_GB2312" w:cs="仿宋_GB2312"/>
                <w:b/>
                <w:bCs/>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1.经营场所建筑面积在50平米（含）以上，每增加10个平方，加1分，最高得10分；2.自申请之日起经营场所租赁协议剩余有效期超过2年（含）得2分，每增加1年加1分，最高不超过5分，自有经营场所产权，得5分；3.具备基础的硬件设备：包括设置独立的咨询服务区、业务办公区、实名制档案管理区、实操培训区、物资存放区或消毒灭菌区。满足一个功能区得2分，最高得10分。</w:t>
            </w:r>
          </w:p>
        </w:tc>
        <w:tc>
          <w:tcPr>
            <w:tcW w:w="1190"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得</w:t>
            </w:r>
            <w:r>
              <w:rPr>
                <w:rFonts w:hint="eastAsia" w:ascii="仿宋_GB2312" w:hAnsi="仿宋_GB2312" w:eastAsia="仿宋_GB2312" w:cs="仿宋_GB2312"/>
                <w:color w:val="auto"/>
                <w:kern w:val="2"/>
                <w:sz w:val="24"/>
                <w:szCs w:val="24"/>
                <w:u w:val="single"/>
                <w:vertAlign w:val="baseline"/>
                <w:lang w:val="en-US" w:eastAsia="zh-CN" w:bidi="ar-SA"/>
              </w:rPr>
              <w:t xml:space="preserve">    </w:t>
            </w:r>
            <w:r>
              <w:rPr>
                <w:rFonts w:hint="eastAsia" w:ascii="仿宋_GB2312" w:hAnsi="仿宋_GB2312" w:eastAsia="仿宋_GB2312" w:cs="仿宋_GB2312"/>
                <w:color w:val="auto"/>
                <w:kern w:val="2"/>
                <w:sz w:val="24"/>
                <w:szCs w:val="24"/>
                <w:vertAlign w:val="baseline"/>
                <w:lang w:val="en-US" w:eastAsia="zh-CN" w:bidi="ar-SA"/>
              </w:rPr>
              <w:t>分</w:t>
            </w:r>
          </w:p>
        </w:tc>
        <w:tc>
          <w:tcPr>
            <w:tcW w:w="905"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jc w:val="left"/>
              <w:textAlignment w:val="baseline"/>
              <w:rPr>
                <w:rFonts w:hint="eastAsia" w:ascii="仿宋" w:hAnsi="仿宋" w:eastAsia="仿宋" w:cs="仿宋"/>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default" w:ascii="仿宋" w:hAnsi="仿宋" w:eastAsia="仿宋" w:cs="仿宋"/>
                <w:color w:val="auto"/>
                <w:kern w:val="2"/>
                <w:sz w:val="24"/>
                <w:szCs w:val="24"/>
                <w:vertAlign w:val="baseline"/>
                <w:lang w:val="en-US" w:eastAsia="zh-CN" w:bidi="ar-SA"/>
              </w:rPr>
            </w:pPr>
            <w:r>
              <w:rPr>
                <w:rFonts w:hint="eastAsia" w:ascii="黑体" w:hAnsi="黑体" w:eastAsia="黑体" w:cs="黑体"/>
                <w:color w:val="auto"/>
                <w:kern w:val="2"/>
                <w:sz w:val="24"/>
                <w:szCs w:val="24"/>
                <w:vertAlign w:val="baseline"/>
                <w:lang w:val="en-US" w:eastAsia="zh-CN" w:bidi="ar-SA"/>
              </w:rPr>
              <w:t>序号</w:t>
            </w:r>
          </w:p>
        </w:tc>
        <w:tc>
          <w:tcPr>
            <w:tcW w:w="1755"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default" w:ascii="仿宋" w:hAnsi="仿宋" w:eastAsia="仿宋" w:cs="仿宋"/>
                <w:color w:val="auto"/>
                <w:kern w:val="2"/>
                <w:sz w:val="24"/>
                <w:szCs w:val="24"/>
                <w:vertAlign w:val="baseline"/>
                <w:lang w:val="en-US" w:eastAsia="zh-CN" w:bidi="ar-SA"/>
              </w:rPr>
            </w:pPr>
            <w:r>
              <w:rPr>
                <w:rFonts w:hint="eastAsia" w:ascii="黑体" w:hAnsi="黑体" w:eastAsia="黑体" w:cs="黑体"/>
                <w:color w:val="auto"/>
                <w:kern w:val="2"/>
                <w:sz w:val="24"/>
                <w:szCs w:val="24"/>
                <w:vertAlign w:val="baseline"/>
                <w:lang w:val="en-US" w:eastAsia="zh-CN" w:bidi="ar-SA"/>
              </w:rPr>
              <w:t>审核内容</w:t>
            </w:r>
          </w:p>
        </w:tc>
        <w:tc>
          <w:tcPr>
            <w:tcW w:w="1500"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default" w:ascii="仿宋" w:hAnsi="仿宋" w:eastAsia="仿宋" w:cs="仿宋"/>
                <w:color w:val="auto"/>
                <w:kern w:val="2"/>
                <w:sz w:val="24"/>
                <w:szCs w:val="24"/>
                <w:vertAlign w:val="baseline"/>
                <w:lang w:val="en-US" w:eastAsia="zh-CN" w:bidi="ar-SA"/>
              </w:rPr>
            </w:pPr>
            <w:r>
              <w:rPr>
                <w:rFonts w:hint="eastAsia" w:ascii="黑体" w:hAnsi="黑体" w:eastAsia="黑体" w:cs="黑体"/>
                <w:color w:val="auto"/>
                <w:kern w:val="2"/>
                <w:sz w:val="24"/>
                <w:szCs w:val="24"/>
                <w:vertAlign w:val="baseline"/>
                <w:lang w:val="en-US" w:eastAsia="zh-CN" w:bidi="ar-SA"/>
              </w:rPr>
              <w:t>指标类型</w:t>
            </w:r>
          </w:p>
        </w:tc>
        <w:tc>
          <w:tcPr>
            <w:tcW w:w="9561"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default" w:ascii="仿宋" w:hAnsi="仿宋" w:eastAsia="仿宋" w:cs="仿宋"/>
                <w:color w:val="auto"/>
                <w:kern w:val="2"/>
                <w:sz w:val="24"/>
                <w:szCs w:val="24"/>
                <w:vertAlign w:val="baseline"/>
                <w:lang w:val="en-US" w:eastAsia="zh-CN" w:bidi="ar-SA"/>
              </w:rPr>
            </w:pPr>
            <w:r>
              <w:rPr>
                <w:rFonts w:hint="eastAsia" w:ascii="黑体" w:hAnsi="黑体" w:eastAsia="黑体" w:cs="黑体"/>
                <w:color w:val="auto"/>
                <w:kern w:val="2"/>
                <w:sz w:val="24"/>
                <w:szCs w:val="24"/>
                <w:vertAlign w:val="baseline"/>
                <w:lang w:val="en-US" w:eastAsia="zh-CN" w:bidi="ar-SA"/>
              </w:rPr>
              <w:t>审核标准</w:t>
            </w:r>
          </w:p>
        </w:tc>
        <w:tc>
          <w:tcPr>
            <w:tcW w:w="1190"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default" w:ascii="仿宋" w:hAnsi="仿宋" w:eastAsia="仿宋" w:cs="仿宋"/>
                <w:color w:val="auto"/>
                <w:kern w:val="2"/>
                <w:sz w:val="24"/>
                <w:szCs w:val="24"/>
                <w:vertAlign w:val="baseline"/>
                <w:lang w:val="en-US" w:eastAsia="zh-CN" w:bidi="ar-SA"/>
              </w:rPr>
            </w:pPr>
            <w:r>
              <w:rPr>
                <w:rFonts w:hint="eastAsia" w:ascii="黑体" w:hAnsi="黑体" w:eastAsia="黑体" w:cs="黑体"/>
                <w:color w:val="auto"/>
                <w:kern w:val="2"/>
                <w:sz w:val="24"/>
                <w:szCs w:val="24"/>
                <w:vertAlign w:val="baseline"/>
                <w:lang w:val="en-US" w:eastAsia="zh-CN" w:bidi="ar-SA"/>
              </w:rPr>
              <w:t>审核情况</w:t>
            </w:r>
          </w:p>
        </w:tc>
        <w:tc>
          <w:tcPr>
            <w:tcW w:w="905"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default" w:ascii="仿宋" w:hAnsi="仿宋" w:eastAsia="仿宋" w:cs="仿宋"/>
                <w:color w:val="auto"/>
                <w:kern w:val="2"/>
                <w:sz w:val="24"/>
                <w:szCs w:val="24"/>
                <w:vertAlign w:val="baseline"/>
                <w:lang w:val="en-US" w:eastAsia="zh-CN" w:bidi="ar-SA"/>
              </w:rPr>
            </w:pPr>
            <w:r>
              <w:rPr>
                <w:rFonts w:hint="eastAsia" w:ascii="黑体" w:hAnsi="黑体" w:eastAsia="黑体" w:cs="黑体"/>
                <w:color w:val="auto"/>
                <w:kern w:val="2"/>
                <w:sz w:val="24"/>
                <w:szCs w:val="24"/>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5"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color w:val="auto"/>
                <w:kern w:val="2"/>
                <w:sz w:val="24"/>
                <w:szCs w:val="24"/>
                <w:vertAlign w:val="baseline"/>
                <w:lang w:val="en-US" w:eastAsia="zh-CN" w:bidi="ar-SA"/>
              </w:rPr>
              <w:t>2</w:t>
            </w:r>
          </w:p>
        </w:tc>
        <w:tc>
          <w:tcPr>
            <w:tcW w:w="1755"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color w:val="auto"/>
                <w:kern w:val="2"/>
                <w:sz w:val="24"/>
                <w:szCs w:val="24"/>
                <w:vertAlign w:val="baseline"/>
                <w:lang w:val="en-US" w:eastAsia="zh-CN" w:bidi="ar-SA"/>
              </w:rPr>
              <w:t>基础配置</w:t>
            </w:r>
          </w:p>
        </w:tc>
        <w:tc>
          <w:tcPr>
            <w:tcW w:w="1500"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二级指标</w:t>
            </w:r>
          </w:p>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color w:val="auto"/>
                <w:kern w:val="2"/>
                <w:sz w:val="24"/>
                <w:szCs w:val="24"/>
                <w:vertAlign w:val="baseline"/>
                <w:lang w:val="en-US" w:eastAsia="zh-CN" w:bidi="ar-SA"/>
              </w:rPr>
              <w:t>(共35分)</w:t>
            </w:r>
          </w:p>
        </w:tc>
        <w:tc>
          <w:tcPr>
            <w:tcW w:w="9561"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1.为评估人员上门服务，配备统一服装、服务包（箱）、工作证的，</w:t>
            </w: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得5分；2.配套专职管理人员得5分。</w:t>
            </w:r>
          </w:p>
        </w:tc>
        <w:tc>
          <w:tcPr>
            <w:tcW w:w="1190"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得</w:t>
            </w:r>
            <w:r>
              <w:rPr>
                <w:rFonts w:hint="eastAsia" w:ascii="仿宋_GB2312" w:hAnsi="仿宋_GB2312" w:eastAsia="仿宋_GB2312" w:cs="仿宋_GB2312"/>
                <w:color w:val="auto"/>
                <w:kern w:val="2"/>
                <w:sz w:val="24"/>
                <w:szCs w:val="24"/>
                <w:u w:val="single"/>
                <w:vertAlign w:val="baseline"/>
                <w:lang w:val="en-US" w:eastAsia="zh-CN" w:bidi="ar-SA"/>
              </w:rPr>
              <w:t xml:space="preserve">    </w:t>
            </w:r>
            <w:r>
              <w:rPr>
                <w:rFonts w:hint="eastAsia" w:ascii="仿宋_GB2312" w:hAnsi="仿宋_GB2312" w:eastAsia="仿宋_GB2312" w:cs="仿宋_GB2312"/>
                <w:color w:val="auto"/>
                <w:kern w:val="2"/>
                <w:sz w:val="24"/>
                <w:szCs w:val="24"/>
                <w:vertAlign w:val="baseline"/>
                <w:lang w:val="en-US" w:eastAsia="zh-CN" w:bidi="ar-SA"/>
              </w:rPr>
              <w:t>分</w:t>
            </w:r>
          </w:p>
        </w:tc>
        <w:tc>
          <w:tcPr>
            <w:tcW w:w="905"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 w:hAnsi="仿宋" w:eastAsia="仿宋" w:cs="仿宋"/>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915" w:type="dxa"/>
            <w:vMerge w:val="restart"/>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3</w:t>
            </w:r>
          </w:p>
        </w:tc>
        <w:tc>
          <w:tcPr>
            <w:tcW w:w="1755" w:type="dxa"/>
            <w:vMerge w:val="restart"/>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人员队伍</w:t>
            </w:r>
          </w:p>
        </w:tc>
        <w:tc>
          <w:tcPr>
            <w:tcW w:w="1500" w:type="dxa"/>
            <w:vMerge w:val="restart"/>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一级指标</w:t>
            </w:r>
          </w:p>
        </w:tc>
        <w:tc>
          <w:tcPr>
            <w:tcW w:w="9561"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snapToGrid w:val="0"/>
                <w:color w:val="auto"/>
                <w:kern w:val="2"/>
                <w:sz w:val="24"/>
                <w:szCs w:val="24"/>
                <w:vertAlign w:val="baseline"/>
                <w:lang w:val="en-US" w:eastAsia="zh-CN" w:bidi="ar-SA"/>
              </w:rPr>
              <w:t>具备与评估工作相适应的专业化人员队伍。其中，专职评估员、评估专家分别不少于2人、4人；专职管理人员不少于1人，信息技术管理维护人员不少于1人。</w:t>
            </w:r>
          </w:p>
        </w:tc>
        <w:tc>
          <w:tcPr>
            <w:tcW w:w="1190"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符  合</w:t>
            </w:r>
            <w:r>
              <w:rPr>
                <w:rFonts w:hint="eastAsia" w:ascii="仿宋_GB2312" w:hAnsi="仿宋_GB2312" w:eastAsia="仿宋_GB2312" w:cs="仿宋_GB2312"/>
                <w:color w:val="auto"/>
                <w:kern w:val="2"/>
                <w:sz w:val="24"/>
                <w:szCs w:val="24"/>
                <w:vertAlign w:val="baseline"/>
                <w:lang w:val="en-US" w:eastAsia="zh-CN" w:bidi="ar-SA"/>
              </w:rPr>
              <w:sym w:font="Wingdings 2" w:char="00A3"/>
            </w:r>
          </w:p>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不符合</w:t>
            </w:r>
            <w:r>
              <w:rPr>
                <w:rFonts w:hint="eastAsia" w:ascii="仿宋_GB2312" w:hAnsi="仿宋_GB2312" w:eastAsia="仿宋_GB2312" w:cs="仿宋_GB2312"/>
                <w:color w:val="auto"/>
                <w:kern w:val="2"/>
                <w:sz w:val="24"/>
                <w:szCs w:val="24"/>
                <w:vertAlign w:val="baseline"/>
                <w:lang w:val="en-US" w:eastAsia="zh-CN" w:bidi="ar-SA"/>
              </w:rPr>
              <w:sym w:font="Wingdings 2" w:char="00A3"/>
            </w:r>
          </w:p>
        </w:tc>
        <w:tc>
          <w:tcPr>
            <w:tcW w:w="905"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jc w:val="left"/>
              <w:textAlignment w:val="baseline"/>
              <w:rPr>
                <w:rFonts w:hint="eastAsia" w:ascii="仿宋" w:hAnsi="仿宋" w:eastAsia="仿宋" w:cs="仿宋"/>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915" w:type="dxa"/>
            <w:vMerge w:val="continue"/>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4"/>
                <w:szCs w:val="24"/>
                <w:vertAlign w:val="baseline"/>
                <w:lang w:val="en-US" w:eastAsia="zh-CN" w:bidi="ar-SA"/>
              </w:rPr>
            </w:pPr>
          </w:p>
        </w:tc>
        <w:tc>
          <w:tcPr>
            <w:tcW w:w="1755" w:type="dxa"/>
            <w:vMerge w:val="continue"/>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p>
        </w:tc>
        <w:tc>
          <w:tcPr>
            <w:tcW w:w="1500" w:type="dxa"/>
            <w:vMerge w:val="continue"/>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4"/>
                <w:szCs w:val="24"/>
                <w:vertAlign w:val="baseline"/>
                <w:lang w:val="en-US" w:eastAsia="zh-CN" w:bidi="ar-SA"/>
              </w:rPr>
            </w:pPr>
          </w:p>
        </w:tc>
        <w:tc>
          <w:tcPr>
            <w:tcW w:w="9561"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_GB2312" w:hAnsi="仿宋_GB2312" w:eastAsia="仿宋_GB2312" w:cs="仿宋_GB2312"/>
                <w:snapToGrid w:val="0"/>
                <w:color w:val="auto"/>
                <w:kern w:val="2"/>
                <w:sz w:val="24"/>
                <w:szCs w:val="24"/>
                <w:vertAlign w:val="baseline"/>
                <w:lang w:val="en-US" w:eastAsia="zh-CN" w:bidi="ar-SA"/>
              </w:rPr>
            </w:pPr>
            <w:r>
              <w:rPr>
                <w:rFonts w:hint="eastAsia" w:ascii="仿宋_GB2312" w:hAnsi="仿宋_GB2312" w:eastAsia="仿宋_GB2312" w:cs="仿宋_GB2312"/>
                <w:snapToGrid w:val="0"/>
                <w:color w:val="auto"/>
                <w:kern w:val="2"/>
                <w:sz w:val="24"/>
                <w:szCs w:val="24"/>
                <w:vertAlign w:val="baseline"/>
                <w:lang w:val="en-US" w:eastAsia="zh-CN" w:bidi="ar-SA"/>
              </w:rPr>
              <w:t>聘用或雇用的护理服务人员应经专业培训，并取得相关资格证书，符合行业规范，人员类型、数量与服务能力、服务范围相匹配</w:t>
            </w:r>
            <w:r>
              <w:rPr>
                <w:rFonts w:hint="eastAsia" w:ascii="仿宋_GB2312" w:hAnsi="仿宋_GB2312" w:eastAsia="仿宋_GB2312" w:cs="仿宋_GB2312"/>
                <w:color w:val="auto"/>
                <w:kern w:val="2"/>
                <w:sz w:val="24"/>
                <w:szCs w:val="24"/>
                <w:vertAlign w:val="baseline"/>
                <w:lang w:val="en-US" w:eastAsia="zh-CN" w:bidi="ar-SA"/>
              </w:rPr>
              <w:t>。</w:t>
            </w:r>
          </w:p>
        </w:tc>
        <w:tc>
          <w:tcPr>
            <w:tcW w:w="1190"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符  合</w:t>
            </w:r>
            <w:r>
              <w:rPr>
                <w:rFonts w:hint="eastAsia" w:ascii="仿宋_GB2312" w:hAnsi="仿宋_GB2312" w:eastAsia="仿宋_GB2312" w:cs="仿宋_GB2312"/>
                <w:color w:val="auto"/>
                <w:kern w:val="2"/>
                <w:sz w:val="24"/>
                <w:szCs w:val="24"/>
                <w:vertAlign w:val="baseline"/>
                <w:lang w:val="en-US" w:eastAsia="zh-CN" w:bidi="ar-SA"/>
              </w:rPr>
              <w:sym w:font="Wingdings 2" w:char="00A3"/>
            </w:r>
          </w:p>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不符合</w:t>
            </w:r>
            <w:r>
              <w:rPr>
                <w:rFonts w:hint="eastAsia" w:ascii="仿宋_GB2312" w:hAnsi="仿宋_GB2312" w:eastAsia="仿宋_GB2312" w:cs="仿宋_GB2312"/>
                <w:color w:val="auto"/>
                <w:kern w:val="2"/>
                <w:sz w:val="24"/>
                <w:szCs w:val="24"/>
                <w:vertAlign w:val="baseline"/>
                <w:lang w:val="en-US" w:eastAsia="zh-CN" w:bidi="ar-SA"/>
              </w:rPr>
              <w:sym w:font="Wingdings 2" w:char="00A3"/>
            </w:r>
          </w:p>
        </w:tc>
        <w:tc>
          <w:tcPr>
            <w:tcW w:w="905"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jc w:val="left"/>
              <w:textAlignment w:val="baseline"/>
              <w:rPr>
                <w:rFonts w:hint="eastAsia" w:ascii="仿宋" w:hAnsi="仿宋" w:eastAsia="仿宋" w:cs="仿宋"/>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15" w:type="dxa"/>
            <w:vMerge w:val="continue"/>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4"/>
                <w:szCs w:val="24"/>
                <w:vertAlign w:val="baseline"/>
                <w:lang w:val="en-US" w:eastAsia="zh-CN" w:bidi="ar-SA"/>
              </w:rPr>
            </w:pPr>
          </w:p>
        </w:tc>
        <w:tc>
          <w:tcPr>
            <w:tcW w:w="1755" w:type="dxa"/>
            <w:vMerge w:val="continue"/>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p>
        </w:tc>
        <w:tc>
          <w:tcPr>
            <w:tcW w:w="1500" w:type="dxa"/>
            <w:vMerge w:val="restart"/>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二级指标</w:t>
            </w:r>
          </w:p>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(共35分)</w:t>
            </w:r>
          </w:p>
        </w:tc>
        <w:tc>
          <w:tcPr>
            <w:tcW w:w="9561"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持证率达到100%的得10分。</w:t>
            </w:r>
          </w:p>
        </w:tc>
        <w:tc>
          <w:tcPr>
            <w:tcW w:w="1190"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得</w:t>
            </w:r>
            <w:r>
              <w:rPr>
                <w:rFonts w:hint="eastAsia" w:ascii="仿宋_GB2312" w:hAnsi="仿宋_GB2312" w:eastAsia="仿宋_GB2312" w:cs="仿宋_GB2312"/>
                <w:color w:val="auto"/>
                <w:kern w:val="2"/>
                <w:sz w:val="24"/>
                <w:szCs w:val="24"/>
                <w:u w:val="single"/>
                <w:vertAlign w:val="baseline"/>
                <w:lang w:val="en-US" w:eastAsia="zh-CN" w:bidi="ar-SA"/>
              </w:rPr>
              <w:t xml:space="preserve">    </w:t>
            </w:r>
            <w:r>
              <w:rPr>
                <w:rFonts w:hint="eastAsia" w:ascii="仿宋_GB2312" w:hAnsi="仿宋_GB2312" w:eastAsia="仿宋_GB2312" w:cs="仿宋_GB2312"/>
                <w:color w:val="auto"/>
                <w:kern w:val="2"/>
                <w:sz w:val="24"/>
                <w:szCs w:val="24"/>
                <w:vertAlign w:val="baseline"/>
                <w:lang w:val="en-US" w:eastAsia="zh-CN" w:bidi="ar-SA"/>
              </w:rPr>
              <w:t>分</w:t>
            </w:r>
          </w:p>
        </w:tc>
        <w:tc>
          <w:tcPr>
            <w:tcW w:w="905"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jc w:val="left"/>
              <w:textAlignment w:val="baseline"/>
              <w:rPr>
                <w:rFonts w:hint="eastAsia" w:ascii="仿宋" w:hAnsi="仿宋" w:eastAsia="仿宋" w:cs="仿宋"/>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15" w:type="dxa"/>
            <w:vMerge w:val="continue"/>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sz w:val="24"/>
                <w:szCs w:val="24"/>
              </w:rPr>
            </w:pPr>
          </w:p>
        </w:tc>
        <w:tc>
          <w:tcPr>
            <w:tcW w:w="1755" w:type="dxa"/>
            <w:vMerge w:val="continue"/>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sz w:val="24"/>
                <w:szCs w:val="24"/>
              </w:rPr>
            </w:pPr>
          </w:p>
        </w:tc>
        <w:tc>
          <w:tcPr>
            <w:tcW w:w="1500" w:type="dxa"/>
            <w:vMerge w:val="continue"/>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sz w:val="24"/>
                <w:szCs w:val="24"/>
              </w:rPr>
            </w:pPr>
          </w:p>
        </w:tc>
        <w:tc>
          <w:tcPr>
            <w:tcW w:w="9561"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snapToGrid w:val="0"/>
                <w:color w:val="auto"/>
                <w:kern w:val="2"/>
                <w:sz w:val="24"/>
                <w:szCs w:val="24"/>
                <w:vertAlign w:val="baseline"/>
                <w:lang w:val="en-US" w:eastAsia="zh-CN" w:bidi="ar-SA"/>
              </w:rPr>
              <w:t>1.配备专职评估员、评估专家分别不少于2人、4人；专职管理人员不少于1人，信息技术管理维护人员不少于1人，</w:t>
            </w: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得15分；2.配备2名及以上高级职称的评估人员的得10分。</w:t>
            </w:r>
          </w:p>
        </w:tc>
        <w:tc>
          <w:tcPr>
            <w:tcW w:w="1190"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得</w:t>
            </w:r>
            <w:r>
              <w:rPr>
                <w:rFonts w:hint="eastAsia" w:ascii="仿宋_GB2312" w:hAnsi="仿宋_GB2312" w:eastAsia="仿宋_GB2312" w:cs="仿宋_GB2312"/>
                <w:color w:val="auto"/>
                <w:kern w:val="2"/>
                <w:sz w:val="24"/>
                <w:szCs w:val="24"/>
                <w:u w:val="single"/>
                <w:vertAlign w:val="baseline"/>
                <w:lang w:val="en-US" w:eastAsia="zh-CN" w:bidi="ar-SA"/>
              </w:rPr>
              <w:t xml:space="preserve">    </w:t>
            </w:r>
            <w:r>
              <w:rPr>
                <w:rFonts w:hint="eastAsia" w:ascii="仿宋_GB2312" w:hAnsi="仿宋_GB2312" w:eastAsia="仿宋_GB2312" w:cs="仿宋_GB2312"/>
                <w:color w:val="auto"/>
                <w:kern w:val="2"/>
                <w:sz w:val="24"/>
                <w:szCs w:val="24"/>
                <w:vertAlign w:val="baseline"/>
                <w:lang w:val="en-US" w:eastAsia="zh-CN" w:bidi="ar-SA"/>
              </w:rPr>
              <w:t>分</w:t>
            </w:r>
          </w:p>
        </w:tc>
        <w:tc>
          <w:tcPr>
            <w:tcW w:w="905"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 w:hAnsi="仿宋" w:eastAsia="仿宋" w:cs="仿宋"/>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915" w:type="dxa"/>
            <w:vMerge w:val="restart"/>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4</w:t>
            </w:r>
          </w:p>
        </w:tc>
        <w:tc>
          <w:tcPr>
            <w:tcW w:w="1755" w:type="dxa"/>
            <w:vMerge w:val="restart"/>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制度管理</w:t>
            </w:r>
          </w:p>
        </w:tc>
        <w:tc>
          <w:tcPr>
            <w:tcW w:w="1500"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一级指标</w:t>
            </w:r>
          </w:p>
        </w:tc>
        <w:tc>
          <w:tcPr>
            <w:tcW w:w="9561"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申请机构提供的规范化培训管理、质量评价、人员管理、财务管理、信息管理、档案管理制度符合长期护理保险工作实际。</w:t>
            </w:r>
          </w:p>
        </w:tc>
        <w:tc>
          <w:tcPr>
            <w:tcW w:w="1190"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符  合</w:t>
            </w:r>
            <w:r>
              <w:rPr>
                <w:rFonts w:hint="eastAsia" w:ascii="仿宋_GB2312" w:hAnsi="仿宋_GB2312" w:eastAsia="仿宋_GB2312" w:cs="仿宋_GB2312"/>
                <w:color w:val="auto"/>
                <w:kern w:val="2"/>
                <w:sz w:val="24"/>
                <w:szCs w:val="24"/>
                <w:vertAlign w:val="baseline"/>
                <w:lang w:val="en-US" w:eastAsia="zh-CN" w:bidi="ar-SA"/>
              </w:rPr>
              <w:sym w:font="Wingdings 2" w:char="00A3"/>
            </w:r>
          </w:p>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不符合</w:t>
            </w:r>
            <w:r>
              <w:rPr>
                <w:rFonts w:hint="eastAsia" w:ascii="仿宋_GB2312" w:hAnsi="仿宋_GB2312" w:eastAsia="仿宋_GB2312" w:cs="仿宋_GB2312"/>
                <w:color w:val="auto"/>
                <w:kern w:val="2"/>
                <w:sz w:val="24"/>
                <w:szCs w:val="24"/>
                <w:vertAlign w:val="baseline"/>
                <w:lang w:val="en-US" w:eastAsia="zh-CN" w:bidi="ar-SA"/>
              </w:rPr>
              <w:sym w:font="Wingdings 2" w:char="00A3"/>
            </w:r>
          </w:p>
        </w:tc>
        <w:tc>
          <w:tcPr>
            <w:tcW w:w="905"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jc w:val="left"/>
              <w:textAlignment w:val="baseline"/>
              <w:rPr>
                <w:rFonts w:hint="eastAsia" w:ascii="仿宋" w:hAnsi="仿宋" w:eastAsia="仿宋" w:cs="仿宋"/>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915" w:type="dxa"/>
            <w:vMerge w:val="continue"/>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sz w:val="24"/>
                <w:szCs w:val="24"/>
              </w:rPr>
            </w:pPr>
          </w:p>
        </w:tc>
        <w:tc>
          <w:tcPr>
            <w:tcW w:w="1755" w:type="dxa"/>
            <w:vMerge w:val="continue"/>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sz w:val="24"/>
                <w:szCs w:val="24"/>
              </w:rPr>
            </w:pPr>
          </w:p>
        </w:tc>
        <w:tc>
          <w:tcPr>
            <w:tcW w:w="1500"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二级指标</w:t>
            </w:r>
          </w:p>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(共5分)</w:t>
            </w:r>
          </w:p>
        </w:tc>
        <w:tc>
          <w:tcPr>
            <w:tcW w:w="9561"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1.每有一项内部管理制度在机构显著位置公示的，得2分，</w:t>
            </w: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最高得10分</w:t>
            </w:r>
            <w:r>
              <w:rPr>
                <w:rFonts w:hint="eastAsia" w:ascii="仿宋_GB2312" w:hAnsi="仿宋_GB2312" w:eastAsia="仿宋_GB2312" w:cs="仿宋_GB2312"/>
                <w:color w:val="auto"/>
                <w:kern w:val="2"/>
                <w:sz w:val="24"/>
                <w:szCs w:val="24"/>
                <w:vertAlign w:val="baseline"/>
                <w:lang w:val="en-US" w:eastAsia="zh-CN" w:bidi="ar-SA"/>
              </w:rPr>
              <w:t>。</w:t>
            </w:r>
          </w:p>
        </w:tc>
        <w:tc>
          <w:tcPr>
            <w:tcW w:w="1190"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得</w:t>
            </w:r>
            <w:r>
              <w:rPr>
                <w:rFonts w:hint="eastAsia" w:ascii="仿宋_GB2312" w:hAnsi="仿宋_GB2312" w:eastAsia="仿宋_GB2312" w:cs="仿宋_GB2312"/>
                <w:color w:val="auto"/>
                <w:kern w:val="2"/>
                <w:sz w:val="24"/>
                <w:szCs w:val="24"/>
                <w:u w:val="single"/>
                <w:vertAlign w:val="baseline"/>
                <w:lang w:val="en-US" w:eastAsia="zh-CN" w:bidi="ar-SA"/>
              </w:rPr>
              <w:t xml:space="preserve">    </w:t>
            </w:r>
            <w:r>
              <w:rPr>
                <w:rFonts w:hint="eastAsia" w:ascii="仿宋_GB2312" w:hAnsi="仿宋_GB2312" w:eastAsia="仿宋_GB2312" w:cs="仿宋_GB2312"/>
                <w:color w:val="auto"/>
                <w:kern w:val="2"/>
                <w:sz w:val="24"/>
                <w:szCs w:val="24"/>
                <w:vertAlign w:val="baseline"/>
                <w:lang w:val="en-US" w:eastAsia="zh-CN" w:bidi="ar-SA"/>
              </w:rPr>
              <w:t>分</w:t>
            </w:r>
          </w:p>
        </w:tc>
        <w:tc>
          <w:tcPr>
            <w:tcW w:w="905"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 w:hAnsi="仿宋" w:eastAsia="仿宋" w:cs="仿宋"/>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 w:hAnsi="仿宋" w:eastAsia="仿宋" w:cs="仿宋"/>
                <w:sz w:val="24"/>
                <w:szCs w:val="24"/>
              </w:rPr>
            </w:pPr>
            <w:r>
              <w:rPr>
                <w:rFonts w:hint="eastAsia" w:ascii="黑体" w:hAnsi="黑体" w:eastAsia="黑体" w:cs="黑体"/>
                <w:color w:val="auto"/>
                <w:kern w:val="2"/>
                <w:sz w:val="24"/>
                <w:szCs w:val="24"/>
                <w:vertAlign w:val="baseline"/>
                <w:lang w:val="en-US" w:eastAsia="zh-CN" w:bidi="ar-SA"/>
              </w:rPr>
              <w:t>序号</w:t>
            </w:r>
          </w:p>
        </w:tc>
        <w:tc>
          <w:tcPr>
            <w:tcW w:w="1755"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 w:hAnsi="仿宋" w:eastAsia="仿宋" w:cs="仿宋"/>
                <w:sz w:val="24"/>
                <w:szCs w:val="24"/>
              </w:rPr>
            </w:pPr>
            <w:r>
              <w:rPr>
                <w:rFonts w:hint="eastAsia" w:ascii="黑体" w:hAnsi="黑体" w:eastAsia="黑体" w:cs="黑体"/>
                <w:color w:val="auto"/>
                <w:kern w:val="2"/>
                <w:sz w:val="24"/>
                <w:szCs w:val="24"/>
                <w:vertAlign w:val="baseline"/>
                <w:lang w:val="en-US" w:eastAsia="zh-CN" w:bidi="ar-SA"/>
              </w:rPr>
              <w:t>审核内容</w:t>
            </w:r>
          </w:p>
        </w:tc>
        <w:tc>
          <w:tcPr>
            <w:tcW w:w="1500"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 w:hAnsi="仿宋" w:eastAsia="仿宋" w:cs="仿宋"/>
                <w:color w:val="auto"/>
                <w:kern w:val="2"/>
                <w:sz w:val="24"/>
                <w:szCs w:val="24"/>
                <w:vertAlign w:val="baseline"/>
                <w:lang w:val="en-US" w:eastAsia="zh-CN" w:bidi="ar-SA"/>
              </w:rPr>
            </w:pPr>
            <w:r>
              <w:rPr>
                <w:rFonts w:hint="eastAsia" w:ascii="黑体" w:hAnsi="黑体" w:eastAsia="黑体" w:cs="黑体"/>
                <w:color w:val="auto"/>
                <w:kern w:val="2"/>
                <w:sz w:val="24"/>
                <w:szCs w:val="24"/>
                <w:vertAlign w:val="baseline"/>
                <w:lang w:val="en-US" w:eastAsia="zh-CN" w:bidi="ar-SA"/>
              </w:rPr>
              <w:t>指标类型</w:t>
            </w:r>
          </w:p>
        </w:tc>
        <w:tc>
          <w:tcPr>
            <w:tcW w:w="9561"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 w:hAnsi="仿宋" w:eastAsia="仿宋" w:cs="仿宋"/>
                <w:color w:val="auto"/>
                <w:kern w:val="2"/>
                <w:sz w:val="24"/>
                <w:szCs w:val="24"/>
                <w:vertAlign w:val="baseline"/>
                <w:lang w:val="en-US" w:eastAsia="zh-CN" w:bidi="ar-SA"/>
              </w:rPr>
            </w:pPr>
            <w:r>
              <w:rPr>
                <w:rFonts w:hint="eastAsia" w:ascii="黑体" w:hAnsi="黑体" w:eastAsia="黑体" w:cs="黑体"/>
                <w:color w:val="auto"/>
                <w:kern w:val="2"/>
                <w:sz w:val="24"/>
                <w:szCs w:val="24"/>
                <w:vertAlign w:val="baseline"/>
                <w:lang w:val="en-US" w:eastAsia="zh-CN" w:bidi="ar-SA"/>
              </w:rPr>
              <w:t>审核标准</w:t>
            </w:r>
          </w:p>
        </w:tc>
        <w:tc>
          <w:tcPr>
            <w:tcW w:w="1190"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 w:hAnsi="仿宋" w:eastAsia="仿宋" w:cs="仿宋"/>
                <w:color w:val="auto"/>
                <w:kern w:val="2"/>
                <w:sz w:val="24"/>
                <w:szCs w:val="24"/>
                <w:vertAlign w:val="baseline"/>
                <w:lang w:val="en-US" w:eastAsia="zh-CN" w:bidi="ar-SA"/>
              </w:rPr>
            </w:pPr>
            <w:r>
              <w:rPr>
                <w:rFonts w:hint="eastAsia" w:ascii="黑体" w:hAnsi="黑体" w:eastAsia="黑体" w:cs="黑体"/>
                <w:color w:val="auto"/>
                <w:kern w:val="2"/>
                <w:sz w:val="24"/>
                <w:szCs w:val="24"/>
                <w:vertAlign w:val="baseline"/>
                <w:lang w:val="en-US" w:eastAsia="zh-CN" w:bidi="ar-SA"/>
              </w:rPr>
              <w:t>审核情况</w:t>
            </w:r>
          </w:p>
        </w:tc>
        <w:tc>
          <w:tcPr>
            <w:tcW w:w="905"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 w:hAnsi="仿宋" w:eastAsia="仿宋" w:cs="仿宋"/>
                <w:color w:val="auto"/>
                <w:kern w:val="2"/>
                <w:sz w:val="24"/>
                <w:szCs w:val="24"/>
                <w:vertAlign w:val="baseline"/>
                <w:lang w:val="en-US" w:eastAsia="zh-CN" w:bidi="ar-SA"/>
              </w:rPr>
            </w:pPr>
            <w:r>
              <w:rPr>
                <w:rFonts w:hint="eastAsia" w:ascii="黑体" w:hAnsi="黑体" w:eastAsia="黑体" w:cs="黑体"/>
                <w:color w:val="auto"/>
                <w:kern w:val="2"/>
                <w:sz w:val="24"/>
                <w:szCs w:val="24"/>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915" w:type="dxa"/>
            <w:vMerge w:val="restart"/>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kern w:val="2"/>
                <w:sz w:val="24"/>
                <w:szCs w:val="24"/>
                <w:vertAlign w:val="baseline"/>
                <w:lang w:val="en-US" w:eastAsia="zh-CN" w:bidi="ar-SA"/>
              </w:rPr>
              <w:t>5</w:t>
            </w:r>
          </w:p>
        </w:tc>
        <w:tc>
          <w:tcPr>
            <w:tcW w:w="1755" w:type="dxa"/>
            <w:vMerge w:val="restart"/>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color w:val="auto"/>
                <w:kern w:val="2"/>
                <w:sz w:val="24"/>
                <w:szCs w:val="24"/>
                <w:vertAlign w:val="baseline"/>
                <w:lang w:val="en-US" w:eastAsia="zh-CN" w:bidi="ar-SA"/>
              </w:rPr>
              <w:t>信息技术</w:t>
            </w:r>
          </w:p>
        </w:tc>
        <w:tc>
          <w:tcPr>
            <w:tcW w:w="1500"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一级指标</w:t>
            </w:r>
          </w:p>
        </w:tc>
        <w:tc>
          <w:tcPr>
            <w:tcW w:w="9561"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具备使用全国统一的医保信息平台长期护理保险相关功能模块能力和同医保信息平台按接口标准进行对接等条件</w:t>
            </w:r>
          </w:p>
        </w:tc>
        <w:tc>
          <w:tcPr>
            <w:tcW w:w="1190"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符  合</w:t>
            </w:r>
            <w:r>
              <w:rPr>
                <w:rFonts w:hint="eastAsia" w:ascii="仿宋_GB2312" w:hAnsi="仿宋_GB2312" w:eastAsia="仿宋_GB2312" w:cs="仿宋_GB2312"/>
                <w:color w:val="auto"/>
                <w:kern w:val="2"/>
                <w:sz w:val="24"/>
                <w:szCs w:val="24"/>
                <w:vertAlign w:val="baseline"/>
                <w:lang w:val="en-US" w:eastAsia="zh-CN" w:bidi="ar-SA"/>
              </w:rPr>
              <w:sym w:font="Wingdings 2" w:char="00A3"/>
            </w:r>
          </w:p>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不符合</w:t>
            </w:r>
            <w:r>
              <w:rPr>
                <w:rFonts w:hint="eastAsia" w:ascii="仿宋_GB2312" w:hAnsi="仿宋_GB2312" w:eastAsia="仿宋_GB2312" w:cs="仿宋_GB2312"/>
                <w:color w:val="auto"/>
                <w:kern w:val="2"/>
                <w:sz w:val="24"/>
                <w:szCs w:val="24"/>
                <w:vertAlign w:val="baseline"/>
                <w:lang w:val="en-US" w:eastAsia="zh-CN" w:bidi="ar-SA"/>
              </w:rPr>
              <w:sym w:font="Wingdings 2" w:char="00A3"/>
            </w:r>
          </w:p>
        </w:tc>
        <w:tc>
          <w:tcPr>
            <w:tcW w:w="905"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915" w:type="dxa"/>
            <w:vMerge w:val="continue"/>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sz w:val="24"/>
                <w:szCs w:val="24"/>
              </w:rPr>
            </w:pPr>
          </w:p>
        </w:tc>
        <w:tc>
          <w:tcPr>
            <w:tcW w:w="1755" w:type="dxa"/>
            <w:vMerge w:val="continue"/>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sz w:val="24"/>
                <w:szCs w:val="24"/>
              </w:rPr>
            </w:pPr>
          </w:p>
        </w:tc>
        <w:tc>
          <w:tcPr>
            <w:tcW w:w="1500"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二级指标</w:t>
            </w:r>
          </w:p>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(共15分)</w:t>
            </w:r>
          </w:p>
        </w:tc>
        <w:tc>
          <w:tcPr>
            <w:tcW w:w="9561" w:type="dxa"/>
            <w:vAlign w:val="center"/>
          </w:tcPr>
          <w:p>
            <w:pPr>
              <w:keepNext w:val="0"/>
              <w:keepLines w:val="0"/>
              <w:pageBreakBefore w:val="0"/>
              <w:widowControl w:val="0"/>
              <w:numPr>
                <w:ilvl w:val="0"/>
                <w:numId w:val="0"/>
              </w:numPr>
              <w:kinsoku w:val="0"/>
              <w:wordWrap/>
              <w:overflowPunct/>
              <w:topLinePunct w:val="0"/>
              <w:autoSpaceDE/>
              <w:autoSpaceDN/>
              <w:bidi w:val="0"/>
              <w:adjustRightInd w:val="0"/>
              <w:snapToGrid w:val="0"/>
              <w:spacing w:line="360" w:lineRule="exact"/>
              <w:ind w:leftChars="0"/>
              <w:jc w:val="left"/>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kern w:val="2"/>
                <w:sz w:val="24"/>
                <w:szCs w:val="24"/>
                <w:vertAlign w:val="baseline"/>
                <w:lang w:val="en-US" w:eastAsia="zh-CN" w:bidi="ar-SA"/>
              </w:rPr>
              <w:t>1.拥有失能等级评估信息系统的得10分；3.建立信息安全内控制度，且提供相关文件的得3分；3.专人负责信息系统和网络安全保障，且提供专人名单的得2分。</w:t>
            </w:r>
          </w:p>
        </w:tc>
        <w:tc>
          <w:tcPr>
            <w:tcW w:w="1190"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得</w:t>
            </w:r>
            <w:r>
              <w:rPr>
                <w:rFonts w:hint="eastAsia" w:ascii="仿宋_GB2312" w:hAnsi="仿宋_GB2312" w:eastAsia="仿宋_GB2312" w:cs="仿宋_GB2312"/>
                <w:color w:val="auto"/>
                <w:kern w:val="2"/>
                <w:sz w:val="24"/>
                <w:szCs w:val="24"/>
                <w:u w:val="single"/>
                <w:vertAlign w:val="baseline"/>
                <w:lang w:val="en-US" w:eastAsia="zh-CN" w:bidi="ar-SA"/>
              </w:rPr>
              <w:t xml:space="preserve">    </w:t>
            </w:r>
            <w:r>
              <w:rPr>
                <w:rFonts w:hint="eastAsia" w:ascii="仿宋_GB2312" w:hAnsi="仿宋_GB2312" w:eastAsia="仿宋_GB2312" w:cs="仿宋_GB2312"/>
                <w:color w:val="auto"/>
                <w:kern w:val="2"/>
                <w:sz w:val="24"/>
                <w:szCs w:val="24"/>
                <w:vertAlign w:val="baseline"/>
                <w:lang w:val="en-US" w:eastAsia="zh-CN" w:bidi="ar-SA"/>
              </w:rPr>
              <w:t>分</w:t>
            </w:r>
          </w:p>
        </w:tc>
        <w:tc>
          <w:tcPr>
            <w:tcW w:w="905"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15" w:type="dxa"/>
            <w:vMerge w:val="restart"/>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kern w:val="2"/>
                <w:sz w:val="24"/>
                <w:szCs w:val="24"/>
                <w:vertAlign w:val="baseline"/>
                <w:lang w:val="en-US" w:eastAsia="zh-CN" w:bidi="ar-SA"/>
              </w:rPr>
              <w:t>6</w:t>
            </w:r>
          </w:p>
        </w:tc>
        <w:tc>
          <w:tcPr>
            <w:tcW w:w="1755" w:type="dxa"/>
            <w:vMerge w:val="restart"/>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kern w:val="2"/>
                <w:sz w:val="24"/>
                <w:szCs w:val="24"/>
                <w:vertAlign w:val="baseline"/>
                <w:lang w:val="en-US" w:eastAsia="zh-CN" w:bidi="ar-SA"/>
              </w:rPr>
              <w:t>档案管理</w:t>
            </w:r>
          </w:p>
        </w:tc>
        <w:tc>
          <w:tcPr>
            <w:tcW w:w="1500"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一级指标</w:t>
            </w:r>
          </w:p>
        </w:tc>
        <w:tc>
          <w:tcPr>
            <w:tcW w:w="9561" w:type="dxa"/>
            <w:vAlign w:val="center"/>
          </w:tcPr>
          <w:p>
            <w:pPr>
              <w:keepNext w:val="0"/>
              <w:keepLines w:val="0"/>
              <w:pageBreakBefore w:val="0"/>
              <w:widowControl w:val="0"/>
              <w:numPr>
                <w:ilvl w:val="0"/>
                <w:numId w:val="0"/>
              </w:numPr>
              <w:kinsoku w:val="0"/>
              <w:wordWrap/>
              <w:overflowPunct/>
              <w:topLinePunct w:val="0"/>
              <w:autoSpaceDE/>
              <w:autoSpaceDN/>
              <w:bidi w:val="0"/>
              <w:adjustRightInd w:val="0"/>
              <w:snapToGrid w:val="0"/>
              <w:spacing w:line="360" w:lineRule="exact"/>
              <w:ind w:left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w w:val="95"/>
                <w:kern w:val="2"/>
                <w:sz w:val="24"/>
                <w:szCs w:val="24"/>
                <w:vertAlign w:val="baseline"/>
                <w:lang w:val="en-US" w:eastAsia="zh-CN" w:bidi="ar-SA"/>
              </w:rPr>
              <w:t>档案由专人负责管理、固定存放区域、一人一档且标识清楚，能根据工作要求及时调阅。</w:t>
            </w:r>
          </w:p>
        </w:tc>
        <w:tc>
          <w:tcPr>
            <w:tcW w:w="1190"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符  合</w:t>
            </w:r>
            <w:r>
              <w:rPr>
                <w:rFonts w:hint="eastAsia" w:ascii="仿宋_GB2312" w:hAnsi="仿宋_GB2312" w:eastAsia="仿宋_GB2312" w:cs="仿宋_GB2312"/>
                <w:color w:val="auto"/>
                <w:kern w:val="2"/>
                <w:sz w:val="24"/>
                <w:szCs w:val="24"/>
                <w:vertAlign w:val="baseline"/>
                <w:lang w:val="en-US" w:eastAsia="zh-CN" w:bidi="ar-SA"/>
              </w:rPr>
              <w:sym w:font="Wingdings 2" w:char="00A3"/>
            </w:r>
          </w:p>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不符合</w:t>
            </w:r>
            <w:r>
              <w:rPr>
                <w:rFonts w:hint="eastAsia" w:ascii="仿宋_GB2312" w:hAnsi="仿宋_GB2312" w:eastAsia="仿宋_GB2312" w:cs="仿宋_GB2312"/>
                <w:color w:val="auto"/>
                <w:kern w:val="2"/>
                <w:sz w:val="24"/>
                <w:szCs w:val="24"/>
                <w:vertAlign w:val="baseline"/>
                <w:lang w:val="en-US" w:eastAsia="zh-CN" w:bidi="ar-SA"/>
              </w:rPr>
              <w:sym w:font="Wingdings 2" w:char="00A3"/>
            </w:r>
          </w:p>
        </w:tc>
        <w:tc>
          <w:tcPr>
            <w:tcW w:w="905"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15" w:type="dxa"/>
            <w:vMerge w:val="continue"/>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sz w:val="24"/>
                <w:szCs w:val="24"/>
              </w:rPr>
            </w:pPr>
          </w:p>
        </w:tc>
        <w:tc>
          <w:tcPr>
            <w:tcW w:w="1755" w:type="dxa"/>
            <w:vMerge w:val="continue"/>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p>
        </w:tc>
        <w:tc>
          <w:tcPr>
            <w:tcW w:w="1500"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二级指标</w:t>
            </w:r>
          </w:p>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(共10分)</w:t>
            </w:r>
          </w:p>
        </w:tc>
        <w:tc>
          <w:tcPr>
            <w:tcW w:w="9561" w:type="dxa"/>
            <w:vAlign w:val="center"/>
          </w:tcPr>
          <w:p>
            <w:pPr>
              <w:keepNext w:val="0"/>
              <w:keepLines w:val="0"/>
              <w:pageBreakBefore w:val="0"/>
              <w:widowControl w:val="0"/>
              <w:numPr>
                <w:ilvl w:val="0"/>
                <w:numId w:val="0"/>
              </w:numPr>
              <w:kinsoku w:val="0"/>
              <w:wordWrap/>
              <w:overflowPunct/>
              <w:topLinePunct w:val="0"/>
              <w:autoSpaceDE/>
              <w:autoSpaceDN/>
              <w:bidi w:val="0"/>
              <w:adjustRightInd w:val="0"/>
              <w:snapToGrid w:val="0"/>
              <w:spacing w:line="360" w:lineRule="exact"/>
              <w:ind w:left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建立失能人员一人一档，实行电子化档案管理的，</w:t>
            </w: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得10分；有但未实行电子化档案管理的，得2分</w:t>
            </w:r>
          </w:p>
        </w:tc>
        <w:tc>
          <w:tcPr>
            <w:tcW w:w="1190"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得</w:t>
            </w:r>
            <w:r>
              <w:rPr>
                <w:rFonts w:hint="eastAsia" w:ascii="仿宋_GB2312" w:hAnsi="仿宋_GB2312" w:eastAsia="仿宋_GB2312" w:cs="仿宋_GB2312"/>
                <w:color w:val="auto"/>
                <w:kern w:val="2"/>
                <w:sz w:val="24"/>
                <w:szCs w:val="24"/>
                <w:u w:val="single"/>
                <w:vertAlign w:val="baseline"/>
                <w:lang w:val="en-US" w:eastAsia="zh-CN" w:bidi="ar-SA"/>
              </w:rPr>
              <w:t xml:space="preserve">    </w:t>
            </w:r>
            <w:r>
              <w:rPr>
                <w:rFonts w:hint="eastAsia" w:ascii="仿宋_GB2312" w:hAnsi="仿宋_GB2312" w:eastAsia="仿宋_GB2312" w:cs="仿宋_GB2312"/>
                <w:color w:val="auto"/>
                <w:kern w:val="2"/>
                <w:sz w:val="24"/>
                <w:szCs w:val="24"/>
                <w:vertAlign w:val="baseline"/>
                <w:lang w:val="en-US" w:eastAsia="zh-CN" w:bidi="ar-SA"/>
              </w:rPr>
              <w:t>分</w:t>
            </w:r>
          </w:p>
        </w:tc>
        <w:tc>
          <w:tcPr>
            <w:tcW w:w="905"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915"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kern w:val="2"/>
                <w:sz w:val="24"/>
                <w:szCs w:val="24"/>
                <w:vertAlign w:val="baseline"/>
                <w:lang w:val="en-US" w:eastAsia="zh-CN" w:bidi="ar-SA"/>
              </w:rPr>
              <w:t>7</w:t>
            </w:r>
          </w:p>
        </w:tc>
        <w:tc>
          <w:tcPr>
            <w:tcW w:w="1755"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无不予受理的情况</w:t>
            </w:r>
          </w:p>
        </w:tc>
        <w:tc>
          <w:tcPr>
            <w:tcW w:w="1500"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一级指标</w:t>
            </w:r>
          </w:p>
        </w:tc>
        <w:tc>
          <w:tcPr>
            <w:tcW w:w="9561" w:type="dxa"/>
            <w:vAlign w:val="center"/>
          </w:tcPr>
          <w:p>
            <w:pPr>
              <w:keepNext w:val="0"/>
              <w:keepLines w:val="0"/>
              <w:pageBreakBefore w:val="0"/>
              <w:widowControl w:val="0"/>
              <w:numPr>
                <w:ilvl w:val="0"/>
                <w:numId w:val="0"/>
              </w:numPr>
              <w:kinsoku w:val="0"/>
              <w:wordWrap/>
              <w:overflowPunct/>
              <w:topLinePunct w:val="0"/>
              <w:autoSpaceDE/>
              <w:autoSpaceDN/>
              <w:bidi w:val="0"/>
              <w:adjustRightInd w:val="0"/>
              <w:snapToGrid w:val="0"/>
              <w:spacing w:line="360" w:lineRule="exact"/>
              <w:ind w:left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无以下不予受理情形：</w:t>
            </w:r>
          </w:p>
          <w:p>
            <w:pPr>
              <w:keepNext w:val="0"/>
              <w:keepLines w:val="0"/>
              <w:pageBreakBefore w:val="0"/>
              <w:widowControl w:val="0"/>
              <w:numPr>
                <w:ilvl w:val="0"/>
                <w:numId w:val="0"/>
              </w:numPr>
              <w:kinsoku w:val="0"/>
              <w:wordWrap/>
              <w:overflowPunct/>
              <w:topLinePunct w:val="0"/>
              <w:autoSpaceDE/>
              <w:autoSpaceDN/>
              <w:bidi w:val="0"/>
              <w:adjustRightInd w:val="0"/>
              <w:snapToGrid w:val="0"/>
              <w:spacing w:line="360" w:lineRule="exact"/>
              <w:ind w:left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采取伪造、篡改申请材料等不正当手段申请定点评估机构，自发现之日起未满3年的；2.因违法违规解除评估服务协议未满3年或已满3年但未完全履行行政处罚法律责任的；3.因严重违反评估服务协议约定而被解除协议未满1年或已满1年但未完全履行违约责任的；4.法定代表人、主要负责人或实际控制人被列入失信人名单的；5.法律法规和规章规定的其他不予受理的情形。</w:t>
            </w:r>
          </w:p>
          <w:p>
            <w:pPr>
              <w:keepNext w:val="0"/>
              <w:keepLines w:val="0"/>
              <w:pageBreakBefore w:val="0"/>
              <w:widowControl w:val="0"/>
              <w:numPr>
                <w:ilvl w:val="0"/>
                <w:numId w:val="0"/>
              </w:numPr>
              <w:kinsoku w:val="0"/>
              <w:wordWrap/>
              <w:overflowPunct/>
              <w:topLinePunct w:val="0"/>
              <w:autoSpaceDE/>
              <w:autoSpaceDN/>
              <w:bidi w:val="0"/>
              <w:adjustRightInd w:val="0"/>
              <w:snapToGrid w:val="0"/>
              <w:spacing w:line="360" w:lineRule="exact"/>
              <w:ind w:left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p>
        </w:tc>
        <w:tc>
          <w:tcPr>
            <w:tcW w:w="1190"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符  合</w:t>
            </w:r>
            <w:r>
              <w:rPr>
                <w:rFonts w:hint="eastAsia" w:ascii="仿宋_GB2312" w:hAnsi="仿宋_GB2312" w:eastAsia="仿宋_GB2312" w:cs="仿宋_GB2312"/>
                <w:color w:val="auto"/>
                <w:kern w:val="2"/>
                <w:sz w:val="24"/>
                <w:szCs w:val="24"/>
                <w:vertAlign w:val="baseline"/>
                <w:lang w:val="en-US" w:eastAsia="zh-CN" w:bidi="ar-SA"/>
              </w:rPr>
              <w:sym w:font="Wingdings 2" w:char="00A3"/>
            </w:r>
          </w:p>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不符合</w:t>
            </w:r>
            <w:r>
              <w:rPr>
                <w:rFonts w:hint="eastAsia" w:ascii="仿宋_GB2312" w:hAnsi="仿宋_GB2312" w:eastAsia="仿宋_GB2312" w:cs="仿宋_GB2312"/>
                <w:color w:val="auto"/>
                <w:kern w:val="2"/>
                <w:sz w:val="24"/>
                <w:szCs w:val="24"/>
                <w:vertAlign w:val="baseline"/>
                <w:lang w:val="en-US" w:eastAsia="zh-CN" w:bidi="ar-SA"/>
              </w:rPr>
              <w:sym w:font="Wingdings 2" w:char="00A3"/>
            </w:r>
          </w:p>
        </w:tc>
        <w:tc>
          <w:tcPr>
            <w:tcW w:w="905" w:type="dxa"/>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826" w:type="dxa"/>
            <w:gridSpan w:val="6"/>
            <w:vAlign w:val="center"/>
          </w:tcPr>
          <w:p>
            <w:pPr>
              <w:keepNext w:val="0"/>
              <w:keepLines w:val="0"/>
              <w:pageBreakBefore w:val="0"/>
              <w:widowControl w:val="0"/>
              <w:kinsoku w:val="0"/>
              <w:wordWrap/>
              <w:overflowPunct/>
              <w:topLinePunct w:val="0"/>
              <w:autoSpaceDE/>
              <w:autoSpaceDN/>
              <w:bidi w:val="0"/>
              <w:adjustRightInd w:val="0"/>
              <w:snapToGrid w:val="0"/>
              <w:spacing w:line="360" w:lineRule="exact"/>
              <w:ind w:left="0" w:leftChars="0" w:firstLine="0" w:firstLineChars="0"/>
              <w:jc w:val="left"/>
              <w:textAlignment w:val="baseline"/>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评估结果：基本条件 符合</w:t>
            </w:r>
            <w:r>
              <w:rPr>
                <w:rFonts w:hint="eastAsia" w:ascii="仿宋_GB2312" w:hAnsi="仿宋_GB2312" w:eastAsia="仿宋_GB2312" w:cs="仿宋_GB2312"/>
                <w:color w:val="auto"/>
                <w:kern w:val="2"/>
                <w:sz w:val="24"/>
                <w:szCs w:val="24"/>
                <w:vertAlign w:val="baseline"/>
                <w:lang w:val="en-US" w:eastAsia="zh-CN" w:bidi="ar-SA"/>
              </w:rPr>
              <w:sym w:font="Wingdings 2" w:char="00A3"/>
            </w:r>
            <w:r>
              <w:rPr>
                <w:rFonts w:hint="eastAsia" w:ascii="仿宋_GB2312" w:hAnsi="仿宋_GB2312" w:eastAsia="仿宋_GB2312" w:cs="仿宋_GB2312"/>
                <w:color w:val="auto"/>
                <w:kern w:val="2"/>
                <w:sz w:val="24"/>
                <w:szCs w:val="24"/>
                <w:vertAlign w:val="baseline"/>
                <w:lang w:val="en-US" w:eastAsia="zh-CN" w:bidi="ar-SA"/>
              </w:rPr>
              <w:t xml:space="preserve">  不符合</w:t>
            </w:r>
            <w:r>
              <w:rPr>
                <w:rFonts w:hint="eastAsia" w:ascii="仿宋_GB2312" w:hAnsi="仿宋_GB2312" w:eastAsia="仿宋_GB2312" w:cs="仿宋_GB2312"/>
                <w:color w:val="auto"/>
                <w:kern w:val="2"/>
                <w:sz w:val="24"/>
                <w:szCs w:val="24"/>
                <w:vertAlign w:val="baseline"/>
                <w:lang w:val="en-US" w:eastAsia="zh-CN" w:bidi="ar-SA"/>
              </w:rPr>
              <w:sym w:font="Wingdings 2" w:char="00A3"/>
            </w:r>
            <w:r>
              <w:rPr>
                <w:rFonts w:hint="eastAsia" w:ascii="仿宋_GB2312" w:hAnsi="仿宋_GB2312" w:eastAsia="仿宋_GB2312" w:cs="仿宋_GB2312"/>
                <w:color w:val="auto"/>
                <w:kern w:val="2"/>
                <w:sz w:val="24"/>
                <w:szCs w:val="24"/>
                <w:vertAlign w:val="baseline"/>
                <w:lang w:val="en-US" w:eastAsia="zh-CN" w:bidi="ar-SA"/>
              </w:rPr>
              <w:t>，综合指标共得</w:t>
            </w:r>
            <w:r>
              <w:rPr>
                <w:rFonts w:hint="eastAsia" w:ascii="仿宋_GB2312" w:hAnsi="仿宋_GB2312" w:eastAsia="仿宋_GB2312" w:cs="仿宋_GB2312"/>
                <w:color w:val="auto"/>
                <w:kern w:val="2"/>
                <w:sz w:val="24"/>
                <w:szCs w:val="24"/>
                <w:u w:val="single"/>
                <w:vertAlign w:val="baseline"/>
                <w:lang w:val="en-US" w:eastAsia="zh-CN" w:bidi="ar-SA"/>
              </w:rPr>
              <w:t xml:space="preserve">    </w:t>
            </w:r>
            <w:r>
              <w:rPr>
                <w:rFonts w:hint="eastAsia" w:ascii="仿宋_GB2312" w:hAnsi="仿宋_GB2312" w:eastAsia="仿宋_GB2312" w:cs="仿宋_GB2312"/>
                <w:color w:val="auto"/>
                <w:kern w:val="2"/>
                <w:sz w:val="24"/>
                <w:szCs w:val="24"/>
                <w:vertAlign w:val="baseline"/>
                <w:lang w:val="en-US" w:eastAsia="zh-CN" w:bidi="ar-SA"/>
              </w:rPr>
              <w:t>分</w:t>
            </w:r>
          </w:p>
        </w:tc>
      </w:tr>
    </w:tbl>
    <w:p>
      <w:pPr>
        <w:spacing w:line="500" w:lineRule="exact"/>
        <w:jc w:val="left"/>
        <w:rPr>
          <w:rFonts w:hint="eastAsia" w:ascii="仿宋_GB2312" w:hAnsi="仿宋_GB2312" w:eastAsia="仿宋_GB2312" w:cs="仿宋_GB2312"/>
          <w:sz w:val="24"/>
          <w:szCs w:val="24"/>
        </w:rPr>
      </w:pPr>
      <w:r>
        <w:rPr>
          <w:rFonts w:hint="eastAsia" w:ascii="黑体" w:hAnsi="黑体" w:eastAsia="黑体" w:cs="黑体"/>
          <w:color w:val="auto"/>
          <w:kern w:val="2"/>
          <w:sz w:val="24"/>
          <w:szCs w:val="24"/>
          <w:lang w:val="en-US" w:eastAsia="zh-CN" w:bidi="ar-SA"/>
        </w:rPr>
        <w:t>备注：</w:t>
      </w:r>
      <w:r>
        <w:rPr>
          <w:rFonts w:hint="eastAsia" w:ascii="仿宋_GB2312" w:hAnsi="仿宋_GB2312" w:eastAsia="仿宋_GB2312" w:cs="仿宋_GB2312"/>
          <w:color w:val="auto"/>
          <w:kern w:val="2"/>
          <w:sz w:val="24"/>
          <w:szCs w:val="24"/>
          <w:lang w:val="en-US" w:eastAsia="zh-CN" w:bidi="ar-SA"/>
        </w:rPr>
        <w:t>1.一级指标有一项不符合，评估结果即为不合格；一级指标全部符合，且综合指标得分大于80分，则审核结果为合格；2.以上为差异化指标，根据得分择优确定；3.在得分相同的情况下，优先将</w:t>
      </w:r>
      <w:r>
        <w:rPr>
          <w:rFonts w:hint="eastAsia" w:ascii="仿宋_GB2312" w:hAnsi="仿宋_GB2312" w:eastAsia="仿宋_GB2312" w:cs="仿宋_GB2312"/>
          <w:color w:val="auto"/>
          <w:kern w:val="2"/>
          <w:sz w:val="24"/>
          <w:szCs w:val="24"/>
          <w:vertAlign w:val="baseline"/>
          <w:lang w:val="en-US" w:eastAsia="zh-CN" w:bidi="ar-SA"/>
        </w:rPr>
        <w:t>连锁化、规模化、品牌化企业评估机构纳入定点范围。</w:t>
      </w:r>
      <w:bookmarkEnd w:id="0"/>
      <w:bookmarkStart w:id="2" w:name="_GoBack"/>
      <w:bookmarkEnd w:id="2"/>
    </w:p>
    <w:sectPr>
      <w:footerReference r:id="rId5" w:type="default"/>
      <w:pgSz w:w="16838" w:h="11906" w:orient="landscape"/>
      <w:pgMar w:top="1803" w:right="1440" w:bottom="1803" w:left="1440" w:header="851" w:footer="992" w:gutter="0"/>
      <w:pgNumType w:fmt="decimal" w:start="16"/>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 w:val="21"/>
        <w:szCs w:val="32"/>
      </w:rPr>
    </w:pPr>
    <w:r>
      <w:rPr>
        <w:sz w:val="21"/>
        <w:szCs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6"/>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NW69xyQ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DNW69xyQIAAOwFAAAOAAAAAAAAAAEAIAAAADUBAABkcnMvZTJvRG9jLnhtbFBL&#10;BQYAAAAABgAGAFkBAABwBgAAAAA=&#10;">
              <v:fill on="f" focussize="0,0"/>
              <v:stroke on="f" weight="0.5pt"/>
              <v:imagedata o:title=""/>
              <o:lock v:ext="edit" aspectratio="f"/>
              <v:textbox inset="0mm,0mm,0mm,0mm" style="mso-fit-shape-to-text:t;">
                <w:txbxContent>
                  <w:p>
                    <w:pPr>
                      <w:pStyle w:val="6"/>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DV9rPKyQIAAOwFAAAOAAAAAAAAAAEAIAAAADUBAABkcnMvZTJvRG9jLnhtbFBL&#10;BQYAAAAABgAGAFkBAABwBgAAAAA=&#10;">
              <v:fill on="f" focussize="0,0"/>
              <v:stroke on="f" weight="0.5pt"/>
              <v:imagedata o:title=""/>
              <o:lock v:ext="edit" aspectratio="f"/>
              <v:textbox inset="0mm,0mm,0mm,0mm" style="mso-fit-shape-to-text:t;">
                <w:txbxContent>
                  <w:p>
                    <w:pPr>
                      <w:pStyle w:val="6"/>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r>
      <w:rPr>
        <w:sz w:val="1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6"/>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trackRevisions w:val="true"/>
  <w:documentProtection w:enforcement="0"/>
  <w:defaultTabStop w:val="420"/>
  <w:drawingGridVerticalSpacing w:val="15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BC6F24"/>
    <w:rsid w:val="05973B4C"/>
    <w:rsid w:val="07FA4F33"/>
    <w:rsid w:val="08B84ACC"/>
    <w:rsid w:val="0C23233D"/>
    <w:rsid w:val="107514F4"/>
    <w:rsid w:val="152754B3"/>
    <w:rsid w:val="15732A65"/>
    <w:rsid w:val="16335DCA"/>
    <w:rsid w:val="17773DA4"/>
    <w:rsid w:val="177F45E5"/>
    <w:rsid w:val="1A2F892D"/>
    <w:rsid w:val="1A9FE336"/>
    <w:rsid w:val="1C0C71B1"/>
    <w:rsid w:val="1DBFC9D1"/>
    <w:rsid w:val="1FFD17DC"/>
    <w:rsid w:val="22E75DA3"/>
    <w:rsid w:val="23D2E8DB"/>
    <w:rsid w:val="256B9B06"/>
    <w:rsid w:val="25BAEC8F"/>
    <w:rsid w:val="25F2FFDA"/>
    <w:rsid w:val="27FBADC2"/>
    <w:rsid w:val="2B9FACC0"/>
    <w:rsid w:val="2ED781F5"/>
    <w:rsid w:val="32FD52D9"/>
    <w:rsid w:val="35FF2D77"/>
    <w:rsid w:val="371D2093"/>
    <w:rsid w:val="375714C9"/>
    <w:rsid w:val="37D5213C"/>
    <w:rsid w:val="396F4173"/>
    <w:rsid w:val="39FCC0C3"/>
    <w:rsid w:val="3BD74E7E"/>
    <w:rsid w:val="3BFEE144"/>
    <w:rsid w:val="3BFF6277"/>
    <w:rsid w:val="3DF90D69"/>
    <w:rsid w:val="3E5D51F2"/>
    <w:rsid w:val="3F577B22"/>
    <w:rsid w:val="3F77547E"/>
    <w:rsid w:val="3F7DA84F"/>
    <w:rsid w:val="3F9B6F13"/>
    <w:rsid w:val="3FAE202E"/>
    <w:rsid w:val="3FF75475"/>
    <w:rsid w:val="3FF7DC9C"/>
    <w:rsid w:val="3FFBE692"/>
    <w:rsid w:val="3FFDB590"/>
    <w:rsid w:val="3FFF8690"/>
    <w:rsid w:val="42CC0569"/>
    <w:rsid w:val="45667082"/>
    <w:rsid w:val="46AB7443"/>
    <w:rsid w:val="47DF5462"/>
    <w:rsid w:val="49F7B427"/>
    <w:rsid w:val="49FFF27F"/>
    <w:rsid w:val="4EFD4063"/>
    <w:rsid w:val="4EFE9E7C"/>
    <w:rsid w:val="4FBA1243"/>
    <w:rsid w:val="5264494A"/>
    <w:rsid w:val="54A90314"/>
    <w:rsid w:val="55171C07"/>
    <w:rsid w:val="56A24885"/>
    <w:rsid w:val="578BC9FD"/>
    <w:rsid w:val="57D96EA6"/>
    <w:rsid w:val="57EF0D48"/>
    <w:rsid w:val="57F6A4E4"/>
    <w:rsid w:val="5877C50F"/>
    <w:rsid w:val="589FECB8"/>
    <w:rsid w:val="59FC2B49"/>
    <w:rsid w:val="5A8362D7"/>
    <w:rsid w:val="5B4FAB7F"/>
    <w:rsid w:val="5BFB7221"/>
    <w:rsid w:val="5CEACCF0"/>
    <w:rsid w:val="5EC40C4A"/>
    <w:rsid w:val="5EFD542F"/>
    <w:rsid w:val="5F3B9F35"/>
    <w:rsid w:val="5FAEB061"/>
    <w:rsid w:val="5FBBED02"/>
    <w:rsid w:val="5FBF8B2E"/>
    <w:rsid w:val="5FDF354E"/>
    <w:rsid w:val="5FFB6F65"/>
    <w:rsid w:val="6397F5D6"/>
    <w:rsid w:val="64DF8EBC"/>
    <w:rsid w:val="67310E46"/>
    <w:rsid w:val="67CFCCE3"/>
    <w:rsid w:val="67FD97DC"/>
    <w:rsid w:val="680A7637"/>
    <w:rsid w:val="6AFFA5A9"/>
    <w:rsid w:val="6B7B8C8D"/>
    <w:rsid w:val="6BEE6354"/>
    <w:rsid w:val="6BEF7C01"/>
    <w:rsid w:val="6BFD93A5"/>
    <w:rsid w:val="6C652D5D"/>
    <w:rsid w:val="6D1F1B18"/>
    <w:rsid w:val="6D6D953C"/>
    <w:rsid w:val="6D6F1930"/>
    <w:rsid w:val="6D6F1D8E"/>
    <w:rsid w:val="6DF70358"/>
    <w:rsid w:val="6EB47F33"/>
    <w:rsid w:val="6ECF8171"/>
    <w:rsid w:val="6EFE90A3"/>
    <w:rsid w:val="6F5E2F74"/>
    <w:rsid w:val="6F771DE7"/>
    <w:rsid w:val="6F7E430F"/>
    <w:rsid w:val="6FBF19A5"/>
    <w:rsid w:val="6FD2E1B9"/>
    <w:rsid w:val="6FDFFDB3"/>
    <w:rsid w:val="6FEF7608"/>
    <w:rsid w:val="6FFC46CA"/>
    <w:rsid w:val="6FFE4EF6"/>
    <w:rsid w:val="6FFF23B6"/>
    <w:rsid w:val="71810C1C"/>
    <w:rsid w:val="732D3FF5"/>
    <w:rsid w:val="734F0D87"/>
    <w:rsid w:val="73785247"/>
    <w:rsid w:val="73F62769"/>
    <w:rsid w:val="73FF0B6E"/>
    <w:rsid w:val="75E7DEAE"/>
    <w:rsid w:val="765F22A5"/>
    <w:rsid w:val="767F9FA7"/>
    <w:rsid w:val="76AC8745"/>
    <w:rsid w:val="76FA6C16"/>
    <w:rsid w:val="76FC1721"/>
    <w:rsid w:val="7777DB7E"/>
    <w:rsid w:val="777DBAE2"/>
    <w:rsid w:val="779B22C6"/>
    <w:rsid w:val="77BBB379"/>
    <w:rsid w:val="77DB4B55"/>
    <w:rsid w:val="77EEEA7F"/>
    <w:rsid w:val="77FDC715"/>
    <w:rsid w:val="785CA561"/>
    <w:rsid w:val="797F2EA8"/>
    <w:rsid w:val="79CF45B4"/>
    <w:rsid w:val="79D762F4"/>
    <w:rsid w:val="7A3559F2"/>
    <w:rsid w:val="7A96BC7C"/>
    <w:rsid w:val="7AAFEEE5"/>
    <w:rsid w:val="7B75007D"/>
    <w:rsid w:val="7B893848"/>
    <w:rsid w:val="7BBA51C4"/>
    <w:rsid w:val="7BBA6887"/>
    <w:rsid w:val="7BBAD9CC"/>
    <w:rsid w:val="7BCF09B0"/>
    <w:rsid w:val="7BEF2CEA"/>
    <w:rsid w:val="7BEF698A"/>
    <w:rsid w:val="7BF7BC84"/>
    <w:rsid w:val="7C7E999E"/>
    <w:rsid w:val="7CBF1A1A"/>
    <w:rsid w:val="7CF3AB27"/>
    <w:rsid w:val="7D7FA242"/>
    <w:rsid w:val="7DDD8156"/>
    <w:rsid w:val="7DEFC3FF"/>
    <w:rsid w:val="7DFF3FBA"/>
    <w:rsid w:val="7E568679"/>
    <w:rsid w:val="7E6F0B17"/>
    <w:rsid w:val="7EB757BA"/>
    <w:rsid w:val="7EBFB01F"/>
    <w:rsid w:val="7ED73437"/>
    <w:rsid w:val="7F2DAD00"/>
    <w:rsid w:val="7F35C646"/>
    <w:rsid w:val="7F552E6C"/>
    <w:rsid w:val="7F5718CA"/>
    <w:rsid w:val="7F6B204D"/>
    <w:rsid w:val="7F7760D2"/>
    <w:rsid w:val="7F7E6D09"/>
    <w:rsid w:val="7F7F6D92"/>
    <w:rsid w:val="7F8F2AC6"/>
    <w:rsid w:val="7F9D7076"/>
    <w:rsid w:val="7FAF7C70"/>
    <w:rsid w:val="7FBCF3B4"/>
    <w:rsid w:val="7FBE68FC"/>
    <w:rsid w:val="7FDD5A61"/>
    <w:rsid w:val="7FDF7B59"/>
    <w:rsid w:val="7FE7F0DA"/>
    <w:rsid w:val="7FEFE190"/>
    <w:rsid w:val="7FEFFFA7"/>
    <w:rsid w:val="7FF7E6DB"/>
    <w:rsid w:val="7FF95164"/>
    <w:rsid w:val="7FFA4DD4"/>
    <w:rsid w:val="7FFBCBFE"/>
    <w:rsid w:val="7FFD3D17"/>
    <w:rsid w:val="7FFD600E"/>
    <w:rsid w:val="7FFFF2F1"/>
    <w:rsid w:val="8A272B21"/>
    <w:rsid w:val="97AF3413"/>
    <w:rsid w:val="97FF0AE3"/>
    <w:rsid w:val="97FFBD80"/>
    <w:rsid w:val="9E7F4656"/>
    <w:rsid w:val="9F5749AA"/>
    <w:rsid w:val="9FDFC1FE"/>
    <w:rsid w:val="9FEEC8D4"/>
    <w:rsid w:val="9FFEE649"/>
    <w:rsid w:val="A1F3FF4D"/>
    <w:rsid w:val="A76F2F63"/>
    <w:rsid w:val="A7D6A6B2"/>
    <w:rsid w:val="AAA7DE38"/>
    <w:rsid w:val="AABFE9E2"/>
    <w:rsid w:val="AAFF9E8A"/>
    <w:rsid w:val="ABFCF893"/>
    <w:rsid w:val="AD7F7B33"/>
    <w:rsid w:val="AD8720D3"/>
    <w:rsid w:val="ADCFCF0C"/>
    <w:rsid w:val="ADD270D4"/>
    <w:rsid w:val="AEB6ABCD"/>
    <w:rsid w:val="AF3FC840"/>
    <w:rsid w:val="AF5FA18C"/>
    <w:rsid w:val="AF7C5E13"/>
    <w:rsid w:val="AFE122A7"/>
    <w:rsid w:val="B3BBB6D2"/>
    <w:rsid w:val="B3F749BD"/>
    <w:rsid w:val="B4F70019"/>
    <w:rsid w:val="B5B7792C"/>
    <w:rsid w:val="B5FFA650"/>
    <w:rsid w:val="B6BFDD02"/>
    <w:rsid w:val="B6FD7B72"/>
    <w:rsid w:val="B9FBB0E1"/>
    <w:rsid w:val="BAEF72A0"/>
    <w:rsid w:val="BBBF85F0"/>
    <w:rsid w:val="BBDA40BF"/>
    <w:rsid w:val="BC9DC83A"/>
    <w:rsid w:val="BDBFEEFB"/>
    <w:rsid w:val="BDFACAF0"/>
    <w:rsid w:val="BDFF618D"/>
    <w:rsid w:val="BE7F6097"/>
    <w:rsid w:val="BE9BB6DA"/>
    <w:rsid w:val="BEAECD1F"/>
    <w:rsid w:val="BEDD6123"/>
    <w:rsid w:val="BEFEDD7F"/>
    <w:rsid w:val="BF523C60"/>
    <w:rsid w:val="BF7D19C4"/>
    <w:rsid w:val="BFBC6F24"/>
    <w:rsid w:val="BFF35198"/>
    <w:rsid w:val="BFF5B49E"/>
    <w:rsid w:val="BFFBBEB5"/>
    <w:rsid w:val="BFFF0A63"/>
    <w:rsid w:val="C0DF4559"/>
    <w:rsid w:val="C57F1F9B"/>
    <w:rsid w:val="C6DFD542"/>
    <w:rsid w:val="C7D59975"/>
    <w:rsid w:val="CDFFF007"/>
    <w:rsid w:val="CE37E232"/>
    <w:rsid w:val="CE66F936"/>
    <w:rsid w:val="CE6F783B"/>
    <w:rsid w:val="CE8EE794"/>
    <w:rsid w:val="CFBD5642"/>
    <w:rsid w:val="CFBFB6D6"/>
    <w:rsid w:val="CFFDD476"/>
    <w:rsid w:val="D16F641D"/>
    <w:rsid w:val="D47C3DEE"/>
    <w:rsid w:val="D67F457C"/>
    <w:rsid w:val="D719B891"/>
    <w:rsid w:val="D7BFFA68"/>
    <w:rsid w:val="D7EF4DDF"/>
    <w:rsid w:val="D7FBE801"/>
    <w:rsid w:val="D7FC16D4"/>
    <w:rsid w:val="D8F9B3D2"/>
    <w:rsid w:val="DB7D1FAF"/>
    <w:rsid w:val="DBDD67A6"/>
    <w:rsid w:val="DBFF4188"/>
    <w:rsid w:val="DDF5A585"/>
    <w:rsid w:val="DEBA7FDC"/>
    <w:rsid w:val="DEDD559C"/>
    <w:rsid w:val="DF7FA389"/>
    <w:rsid w:val="DF7FDF07"/>
    <w:rsid w:val="DF8F97F0"/>
    <w:rsid w:val="DF9D3B04"/>
    <w:rsid w:val="DFB94925"/>
    <w:rsid w:val="DFE7B5E0"/>
    <w:rsid w:val="DFFB941F"/>
    <w:rsid w:val="DFFF88C2"/>
    <w:rsid w:val="E0D66295"/>
    <w:rsid w:val="E0F7052C"/>
    <w:rsid w:val="E27BF014"/>
    <w:rsid w:val="E79E502D"/>
    <w:rsid w:val="E7E50E39"/>
    <w:rsid w:val="E7F3D811"/>
    <w:rsid w:val="E7F766A5"/>
    <w:rsid w:val="E7FB0071"/>
    <w:rsid w:val="EA6FD09F"/>
    <w:rsid w:val="EA7B5575"/>
    <w:rsid w:val="EAFAFE76"/>
    <w:rsid w:val="EBBE5F71"/>
    <w:rsid w:val="EBFF17F9"/>
    <w:rsid w:val="EBFFF16E"/>
    <w:rsid w:val="ED7FF15B"/>
    <w:rsid w:val="EDF75CBC"/>
    <w:rsid w:val="EDFFC467"/>
    <w:rsid w:val="EEF83656"/>
    <w:rsid w:val="EEFBBEAF"/>
    <w:rsid w:val="EFBEF637"/>
    <w:rsid w:val="EFEF118E"/>
    <w:rsid w:val="EFF7FAAC"/>
    <w:rsid w:val="EFF82B47"/>
    <w:rsid w:val="EFFDEA9C"/>
    <w:rsid w:val="EFFF75B5"/>
    <w:rsid w:val="EFFFA595"/>
    <w:rsid w:val="F37F452D"/>
    <w:rsid w:val="F3BFB06A"/>
    <w:rsid w:val="F5BCF6C8"/>
    <w:rsid w:val="F5FA2379"/>
    <w:rsid w:val="F5FF3FF9"/>
    <w:rsid w:val="F6DBE8C9"/>
    <w:rsid w:val="F6DF9D0B"/>
    <w:rsid w:val="F77E8D1E"/>
    <w:rsid w:val="F7857FAC"/>
    <w:rsid w:val="F7B7CDE5"/>
    <w:rsid w:val="F7BD6133"/>
    <w:rsid w:val="F7BF8FB7"/>
    <w:rsid w:val="F7EEB889"/>
    <w:rsid w:val="F7EF7204"/>
    <w:rsid w:val="F7F20B8F"/>
    <w:rsid w:val="F7FA0C7A"/>
    <w:rsid w:val="F7FF362B"/>
    <w:rsid w:val="F7FFAA2F"/>
    <w:rsid w:val="F9BEAA45"/>
    <w:rsid w:val="F9E83D0A"/>
    <w:rsid w:val="F9F1F3BF"/>
    <w:rsid w:val="F9FFB433"/>
    <w:rsid w:val="FAB7A331"/>
    <w:rsid w:val="FB3F9022"/>
    <w:rsid w:val="FB78EA9A"/>
    <w:rsid w:val="FB7B2CDB"/>
    <w:rsid w:val="FB96D705"/>
    <w:rsid w:val="FBB77FAC"/>
    <w:rsid w:val="FBBD9924"/>
    <w:rsid w:val="FBBFB7CF"/>
    <w:rsid w:val="FBBFFE55"/>
    <w:rsid w:val="FBE7D5EC"/>
    <w:rsid w:val="FBEFD48E"/>
    <w:rsid w:val="FBFA6043"/>
    <w:rsid w:val="FBFFAF18"/>
    <w:rsid w:val="FC3B89D6"/>
    <w:rsid w:val="FCAAF810"/>
    <w:rsid w:val="FCBFD05B"/>
    <w:rsid w:val="FCBFF333"/>
    <w:rsid w:val="FCDDA989"/>
    <w:rsid w:val="FCF7814B"/>
    <w:rsid w:val="FCFBFDE4"/>
    <w:rsid w:val="FCFFA358"/>
    <w:rsid w:val="FD7FDB2C"/>
    <w:rsid w:val="FD7FF871"/>
    <w:rsid w:val="FDDACDDD"/>
    <w:rsid w:val="FDFBAE69"/>
    <w:rsid w:val="FDFE70B9"/>
    <w:rsid w:val="FEB58469"/>
    <w:rsid w:val="FEEDCDE1"/>
    <w:rsid w:val="FEF534F6"/>
    <w:rsid w:val="FEFD65FB"/>
    <w:rsid w:val="FEFE99CD"/>
    <w:rsid w:val="FEFF05B2"/>
    <w:rsid w:val="FF56361D"/>
    <w:rsid w:val="FF7AF972"/>
    <w:rsid w:val="FF7E745C"/>
    <w:rsid w:val="FF7FF67B"/>
    <w:rsid w:val="FFBB088F"/>
    <w:rsid w:val="FFBB6AFA"/>
    <w:rsid w:val="FFCD8EE3"/>
    <w:rsid w:val="FFD2F34A"/>
    <w:rsid w:val="FFDF4CA9"/>
    <w:rsid w:val="FFECB6B3"/>
    <w:rsid w:val="FFEF1597"/>
    <w:rsid w:val="FFEF288D"/>
    <w:rsid w:val="FFF1AB66"/>
    <w:rsid w:val="FFF3206D"/>
    <w:rsid w:val="FFF7773E"/>
    <w:rsid w:val="FFFA5C6C"/>
    <w:rsid w:val="FFFE34D9"/>
    <w:rsid w:val="FFFF01F9"/>
    <w:rsid w:val="FFFF34A2"/>
    <w:rsid w:val="FFFFB2CE"/>
    <w:rsid w:val="FFFFE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unhideWhenUsed/>
    <w:qFormat/>
    <w:uiPriority w:val="99"/>
    <w:pPr>
      <w:spacing w:after="120"/>
      <w:ind w:left="420" w:leftChars="200"/>
    </w:pPr>
    <w:rPr>
      <w:rFonts w:ascii="Calibri" w:hAnsi="Calibri" w:eastAsia="宋体" w:cs="Times New Roman"/>
      <w:kern w:val="0"/>
      <w:sz w:val="21"/>
      <w:szCs w:val="22"/>
    </w:rPr>
  </w:style>
  <w:style w:type="paragraph" w:styleId="4">
    <w:name w:val="annotation text"/>
    <w:basedOn w:val="1"/>
    <w:qFormat/>
    <w:uiPriority w:val="0"/>
    <w:pPr>
      <w:jc w:val="left"/>
    </w:pPr>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index 7"/>
    <w:basedOn w:val="1"/>
    <w:next w:val="1"/>
    <w:qFormat/>
    <w:uiPriority w:val="0"/>
    <w:pPr>
      <w:spacing w:line="160" w:lineRule="exact"/>
      <w:ind w:left="2517"/>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2433</Words>
  <Characters>2437</Characters>
  <Lines>0</Lines>
  <Paragraphs>0</Paragraphs>
  <TotalTime>183</TotalTime>
  <ScaleCrop>false</ScaleCrop>
  <LinksUpToDate>false</LinksUpToDate>
  <CharactersWithSpaces>2444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2024-08-18T01:31:00Z</dcterms:created>
  <dc:creator>Bbei</dc:creator>
  <cp:lastModifiedBy>greatwall</cp:lastModifiedBy>
  <cp:lastPrinted>2025-12-19T17:53:56Z</cp:lastPrinted>
  <dcterms:modified xsi:type="dcterms:W3CDTF">2025-12-19T17:54:09Z</dcterms:modified>
  <dc:title>海南省医疗保障局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53C7D1F7FABE483EBECB7229F54A54B8_13</vt:lpwstr>
  </property>
  <property fmtid="{D5CDD505-2E9C-101B-9397-08002B2CF9AE}" pid="4" name="KSOTemplateDocerSaveRecord">
    <vt:lpwstr>eyJoZGlkIjoiMWJmYmVhMGQ2YWQwOTc0ZDFkYmVkZTE0NzFkNThlYzIiLCJ1c2VySWQiOiIzMTQ5MzgxNzIifQ==</vt:lpwstr>
  </property>
</Properties>
</file>